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47"/>
        <w:gridCol w:w="6803"/>
      </w:tblGrid>
      <w:tr w:rsidR="00AA12A2" w:rsidRPr="00EF3776" w:rsidTr="00AA12A2">
        <w:tc>
          <w:tcPr>
            <w:tcW w:w="2547" w:type="dxa"/>
          </w:tcPr>
          <w:p w:rsidR="00AA12A2" w:rsidRPr="00EF3776" w:rsidRDefault="00AA12A2"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Authors</w:t>
            </w:r>
          </w:p>
          <w:p w:rsidR="00AA12A2" w:rsidRPr="00EF3776" w:rsidRDefault="00AA12A2" w:rsidP="002F4A00">
            <w:pPr>
              <w:spacing w:after="120"/>
              <w:jc w:val="both"/>
              <w:rPr>
                <w:rFonts w:ascii="Times New Roman" w:hAnsi="Times New Roman" w:cs="Times New Roman"/>
                <w:b/>
                <w:sz w:val="24"/>
                <w:szCs w:val="24"/>
              </w:rPr>
            </w:pPr>
          </w:p>
        </w:tc>
        <w:tc>
          <w:tcPr>
            <w:tcW w:w="6803" w:type="dxa"/>
          </w:tcPr>
          <w:p w:rsidR="00747569" w:rsidRPr="00EF3776" w:rsidRDefault="00747569" w:rsidP="002F4A00">
            <w:pPr>
              <w:spacing w:after="120"/>
              <w:jc w:val="both"/>
              <w:rPr>
                <w:rFonts w:ascii="Times New Roman" w:hAnsi="Times New Roman" w:cs="Times New Roman"/>
                <w:sz w:val="24"/>
                <w:szCs w:val="24"/>
                <w:lang w:val="pt-BR"/>
              </w:rPr>
            </w:pPr>
            <w:r w:rsidRPr="00EF3776">
              <w:rPr>
                <w:rFonts w:ascii="Times New Roman" w:hAnsi="Times New Roman" w:cs="Times New Roman"/>
                <w:sz w:val="24"/>
                <w:szCs w:val="24"/>
                <w:lang w:val="pt-BR"/>
              </w:rPr>
              <w:t>Cristiano Moura (</w:t>
            </w:r>
            <w:r w:rsidR="00487613">
              <w:fldChar w:fldCharType="begin"/>
            </w:r>
            <w:r w:rsidR="00487613" w:rsidRPr="00323846">
              <w:rPr>
                <w:lang w:val="fr-CA"/>
              </w:rPr>
              <w:instrText>HYPERLINK "mailto:cristiano.soaresdemoura@mail.mcgill.ca"</w:instrText>
            </w:r>
            <w:r w:rsidR="00487613">
              <w:fldChar w:fldCharType="separate"/>
            </w:r>
            <w:r w:rsidR="00221FD7" w:rsidRPr="00CE6BA1">
              <w:rPr>
                <w:rStyle w:val="Hyperlink"/>
                <w:rFonts w:ascii="Times New Roman" w:hAnsi="Times New Roman" w:cs="Times New Roman"/>
                <w:sz w:val="24"/>
                <w:szCs w:val="24"/>
                <w:lang w:val="pt-BR"/>
              </w:rPr>
              <w:t>cristiano.soaresdemoura@mail.mcgill.ca</w:t>
            </w:r>
            <w:r w:rsidR="00487613">
              <w:fldChar w:fldCharType="end"/>
            </w:r>
            <w:r w:rsidRPr="00EF3776">
              <w:rPr>
                <w:rFonts w:ascii="Times New Roman" w:hAnsi="Times New Roman" w:cs="Times New Roman"/>
                <w:sz w:val="24"/>
                <w:szCs w:val="24"/>
                <w:lang w:val="pt-BR"/>
              </w:rPr>
              <w:t>)</w:t>
            </w:r>
          </w:p>
          <w:p w:rsidR="00AA12A2" w:rsidRPr="00EF3776" w:rsidRDefault="00AA12A2"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 xml:space="preserve">Sasha Bernatsky </w:t>
            </w:r>
            <w:r w:rsidR="003D2687" w:rsidRPr="00EF3776">
              <w:rPr>
                <w:rFonts w:ascii="Times New Roman" w:hAnsi="Times New Roman" w:cs="Times New Roman"/>
                <w:sz w:val="24"/>
                <w:szCs w:val="24"/>
              </w:rPr>
              <w:t>(</w:t>
            </w:r>
            <w:hyperlink r:id="rId9" w:history="1">
              <w:r w:rsidR="003D2687" w:rsidRPr="00EF3776">
                <w:rPr>
                  <w:rStyle w:val="Hyperlink"/>
                  <w:rFonts w:ascii="Times New Roman" w:hAnsi="Times New Roman" w:cs="Times New Roman"/>
                  <w:sz w:val="24"/>
                  <w:szCs w:val="24"/>
                </w:rPr>
                <w:t>sasha.bernatsky@mcgill.ca</w:t>
              </w:r>
            </w:hyperlink>
            <w:r w:rsidR="003D2687" w:rsidRPr="00EF3776">
              <w:rPr>
                <w:rFonts w:ascii="Times New Roman" w:hAnsi="Times New Roman" w:cs="Times New Roman"/>
                <w:sz w:val="24"/>
                <w:szCs w:val="24"/>
              </w:rPr>
              <w:t>)</w:t>
            </w:r>
          </w:p>
          <w:p w:rsidR="003D2687" w:rsidRPr="00EF3776" w:rsidRDefault="003D2687"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CAN-AIM team</w:t>
            </w:r>
          </w:p>
        </w:tc>
      </w:tr>
      <w:tr w:rsidR="00AA12A2" w:rsidRPr="00EF3776" w:rsidTr="00AA12A2">
        <w:tc>
          <w:tcPr>
            <w:tcW w:w="2547" w:type="dxa"/>
          </w:tcPr>
          <w:p w:rsidR="00AA12A2" w:rsidRPr="00EF3776" w:rsidRDefault="00AA12A2"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Version</w:t>
            </w:r>
          </w:p>
        </w:tc>
        <w:tc>
          <w:tcPr>
            <w:tcW w:w="6803" w:type="dxa"/>
          </w:tcPr>
          <w:p w:rsidR="00AA12A2" w:rsidRPr="00EF3776" w:rsidRDefault="0085143B" w:rsidP="002F4A00">
            <w:pPr>
              <w:spacing w:after="120"/>
              <w:jc w:val="both"/>
              <w:rPr>
                <w:rFonts w:ascii="Times New Roman" w:hAnsi="Times New Roman" w:cs="Times New Roman"/>
                <w:sz w:val="24"/>
                <w:szCs w:val="24"/>
              </w:rPr>
            </w:pPr>
            <w:r>
              <w:rPr>
                <w:rFonts w:ascii="Times New Roman" w:hAnsi="Times New Roman" w:cs="Times New Roman"/>
                <w:sz w:val="24"/>
                <w:szCs w:val="24"/>
              </w:rPr>
              <w:t>3</w:t>
            </w:r>
            <w:r w:rsidR="00AA12A2" w:rsidRPr="00EF3776">
              <w:rPr>
                <w:rFonts w:ascii="Times New Roman" w:hAnsi="Times New Roman" w:cs="Times New Roman"/>
                <w:sz w:val="24"/>
                <w:szCs w:val="24"/>
              </w:rPr>
              <w:t>.0</w:t>
            </w:r>
          </w:p>
        </w:tc>
      </w:tr>
      <w:tr w:rsidR="00AA12A2" w:rsidRPr="00EF3776" w:rsidTr="00AA12A2">
        <w:tc>
          <w:tcPr>
            <w:tcW w:w="2547" w:type="dxa"/>
          </w:tcPr>
          <w:p w:rsidR="00AA12A2" w:rsidRPr="00EF3776" w:rsidRDefault="00AA12A2"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Date</w:t>
            </w:r>
          </w:p>
        </w:tc>
        <w:tc>
          <w:tcPr>
            <w:tcW w:w="6803" w:type="dxa"/>
          </w:tcPr>
          <w:p w:rsidR="00AA12A2" w:rsidRPr="00EF3776" w:rsidRDefault="0085143B" w:rsidP="00F82DCB">
            <w:pPr>
              <w:spacing w:after="120"/>
              <w:jc w:val="both"/>
              <w:rPr>
                <w:rFonts w:ascii="Times New Roman" w:hAnsi="Times New Roman" w:cs="Times New Roman"/>
                <w:sz w:val="24"/>
                <w:szCs w:val="24"/>
              </w:rPr>
            </w:pPr>
            <w:r>
              <w:rPr>
                <w:rFonts w:ascii="Times New Roman" w:hAnsi="Times New Roman" w:cs="Times New Roman"/>
                <w:sz w:val="24"/>
                <w:szCs w:val="24"/>
              </w:rPr>
              <w:t xml:space="preserve">May </w:t>
            </w:r>
            <w:r w:rsidR="002676D9">
              <w:rPr>
                <w:rFonts w:ascii="Times New Roman" w:hAnsi="Times New Roman" w:cs="Times New Roman"/>
                <w:sz w:val="24"/>
                <w:szCs w:val="24"/>
              </w:rPr>
              <w:t>7</w:t>
            </w:r>
            <w:r>
              <w:rPr>
                <w:rFonts w:ascii="Times New Roman" w:hAnsi="Times New Roman" w:cs="Times New Roman"/>
                <w:sz w:val="24"/>
                <w:szCs w:val="24"/>
              </w:rPr>
              <w:t>, 2019</w:t>
            </w:r>
          </w:p>
        </w:tc>
      </w:tr>
      <w:tr w:rsidR="006C1E17" w:rsidRPr="00EF3776" w:rsidTr="006C1E17">
        <w:tc>
          <w:tcPr>
            <w:tcW w:w="9350" w:type="dxa"/>
            <w:gridSpan w:val="2"/>
          </w:tcPr>
          <w:p w:rsidR="006C1E17" w:rsidRPr="00EF3776" w:rsidRDefault="00532FD6" w:rsidP="002F4A00">
            <w:pPr>
              <w:spacing w:after="120"/>
              <w:jc w:val="both"/>
              <w:rPr>
                <w:rFonts w:ascii="Times New Roman" w:hAnsi="Times New Roman" w:cs="Times New Roman"/>
                <w:sz w:val="24"/>
                <w:szCs w:val="24"/>
              </w:rPr>
            </w:pPr>
            <w:r>
              <w:rPr>
                <w:rFonts w:ascii="Times New Roman" w:hAnsi="Times New Roman" w:cs="Times New Roman"/>
                <w:b/>
                <w:sz w:val="24"/>
                <w:szCs w:val="24"/>
              </w:rPr>
              <w:t>Research question:</w:t>
            </w:r>
            <w:r w:rsidR="006C1E17" w:rsidRPr="00EF3776">
              <w:rPr>
                <w:rFonts w:ascii="Times New Roman" w:hAnsi="Times New Roman" w:cs="Times New Roman"/>
                <w:sz w:val="24"/>
                <w:szCs w:val="24"/>
              </w:rPr>
              <w:t xml:space="preserve"> </w:t>
            </w:r>
            <w:r w:rsidR="006C1E17">
              <w:rPr>
                <w:rFonts w:ascii="Times New Roman" w:hAnsi="Times New Roman" w:cs="Times New Roman"/>
                <w:sz w:val="24"/>
                <w:szCs w:val="24"/>
              </w:rPr>
              <w:t xml:space="preserve">What </w:t>
            </w:r>
            <w:r w:rsidR="00BE1ABD">
              <w:rPr>
                <w:rFonts w:ascii="Times New Roman" w:hAnsi="Times New Roman" w:cs="Times New Roman"/>
                <w:sz w:val="24"/>
                <w:szCs w:val="24"/>
              </w:rPr>
              <w:t>is</w:t>
            </w:r>
            <w:r w:rsidR="006C1E17" w:rsidRPr="00EF3776">
              <w:rPr>
                <w:rFonts w:ascii="Times New Roman" w:hAnsi="Times New Roman" w:cs="Times New Roman"/>
                <w:sz w:val="24"/>
                <w:szCs w:val="24"/>
              </w:rPr>
              <w:t xml:space="preserve"> the comparative effectiveness and safety of </w:t>
            </w:r>
            <w:r w:rsidR="00BE4955">
              <w:rPr>
                <w:rFonts w:ascii="Times New Roman" w:hAnsi="Times New Roman" w:cs="Times New Roman"/>
                <w:sz w:val="24"/>
                <w:szCs w:val="24"/>
              </w:rPr>
              <w:t>biosimilar drugs</w:t>
            </w:r>
            <w:r w:rsidR="00C73F91">
              <w:rPr>
                <w:rFonts w:ascii="Times New Roman" w:hAnsi="Times New Roman" w:cs="Times New Roman"/>
                <w:sz w:val="24"/>
                <w:szCs w:val="24"/>
              </w:rPr>
              <w:t xml:space="preserve"> </w:t>
            </w:r>
            <w:r w:rsidR="006C1E17" w:rsidRPr="00EF3776">
              <w:rPr>
                <w:rFonts w:ascii="Times New Roman" w:hAnsi="Times New Roman" w:cs="Times New Roman"/>
                <w:sz w:val="24"/>
                <w:szCs w:val="24"/>
              </w:rPr>
              <w:t xml:space="preserve">versus </w:t>
            </w:r>
            <w:r w:rsidR="00BE4955">
              <w:rPr>
                <w:rFonts w:ascii="Times New Roman" w:hAnsi="Times New Roman" w:cs="Times New Roman"/>
                <w:sz w:val="24"/>
                <w:szCs w:val="24"/>
              </w:rPr>
              <w:t>their equivalent legacy drug</w:t>
            </w:r>
            <w:r w:rsidR="00395C7C">
              <w:rPr>
                <w:rFonts w:ascii="Times New Roman" w:hAnsi="Times New Roman" w:cs="Times New Roman"/>
                <w:sz w:val="24"/>
                <w:szCs w:val="24"/>
              </w:rPr>
              <w:t>s</w:t>
            </w:r>
            <w:r w:rsidR="006C1E17" w:rsidRPr="00EF3776">
              <w:rPr>
                <w:rFonts w:ascii="Times New Roman" w:hAnsi="Times New Roman" w:cs="Times New Roman"/>
                <w:sz w:val="24"/>
                <w:szCs w:val="24"/>
              </w:rPr>
              <w:t>?</w:t>
            </w:r>
            <w:r>
              <w:rPr>
                <w:rFonts w:ascii="Times New Roman" w:hAnsi="Times New Roman" w:cs="Times New Roman"/>
                <w:b/>
                <w:sz w:val="24"/>
                <w:szCs w:val="24"/>
              </w:rPr>
              <w:t xml:space="preserve"> </w:t>
            </w:r>
          </w:p>
        </w:tc>
      </w:tr>
      <w:tr w:rsidR="006C1E17" w:rsidRPr="00EF3776" w:rsidTr="006C1E17">
        <w:tc>
          <w:tcPr>
            <w:tcW w:w="9350" w:type="dxa"/>
            <w:gridSpan w:val="2"/>
          </w:tcPr>
          <w:p w:rsidR="006C1E17" w:rsidRPr="0035730C" w:rsidRDefault="003A6790" w:rsidP="002F4A00">
            <w:pPr>
              <w:spacing w:after="120"/>
              <w:jc w:val="both"/>
              <w:rPr>
                <w:rFonts w:ascii="Times New Roman" w:hAnsi="Times New Roman" w:cs="Times New Roman"/>
                <w:b/>
                <w:sz w:val="24"/>
                <w:szCs w:val="24"/>
              </w:rPr>
            </w:pPr>
            <w:r>
              <w:rPr>
                <w:rFonts w:ascii="Times New Roman" w:hAnsi="Times New Roman" w:cs="Times New Roman"/>
                <w:b/>
                <w:sz w:val="24"/>
                <w:szCs w:val="24"/>
              </w:rPr>
              <w:t>Primary aims:</w:t>
            </w:r>
          </w:p>
          <w:p w:rsidR="006C1E17" w:rsidRPr="0035730C" w:rsidRDefault="006C1E17" w:rsidP="002F4A00">
            <w:pPr>
              <w:spacing w:after="120"/>
              <w:jc w:val="both"/>
              <w:rPr>
                <w:rFonts w:ascii="Times New Roman" w:hAnsi="Times New Roman" w:cs="Times New Roman"/>
                <w:sz w:val="24"/>
                <w:szCs w:val="24"/>
              </w:rPr>
            </w:pPr>
            <w:r w:rsidRPr="0035730C">
              <w:rPr>
                <w:rFonts w:ascii="Times New Roman" w:hAnsi="Times New Roman" w:cs="Times New Roman"/>
                <w:b/>
                <w:sz w:val="24"/>
                <w:szCs w:val="24"/>
              </w:rPr>
              <w:t xml:space="preserve">To </w:t>
            </w:r>
            <w:r w:rsidR="00BE1ABD">
              <w:rPr>
                <w:rFonts w:ascii="Times New Roman" w:hAnsi="Times New Roman" w:cs="Times New Roman"/>
                <w:b/>
                <w:sz w:val="24"/>
                <w:szCs w:val="24"/>
              </w:rPr>
              <w:t xml:space="preserve">compare, in </w:t>
            </w:r>
            <w:r w:rsidRPr="0035730C">
              <w:rPr>
                <w:rFonts w:ascii="Times New Roman" w:hAnsi="Times New Roman" w:cs="Times New Roman"/>
                <w:b/>
                <w:sz w:val="24"/>
                <w:szCs w:val="24"/>
              </w:rPr>
              <w:t>patients</w:t>
            </w:r>
            <w:r w:rsidR="00BE1ABD" w:rsidRPr="00EF3776">
              <w:rPr>
                <w:rFonts w:ascii="Times New Roman" w:hAnsi="Times New Roman" w:cs="Times New Roman"/>
                <w:sz w:val="24"/>
                <w:szCs w:val="24"/>
              </w:rPr>
              <w:t xml:space="preserve"> </w:t>
            </w:r>
            <w:r w:rsidRPr="0035730C">
              <w:rPr>
                <w:rFonts w:ascii="Times New Roman" w:hAnsi="Times New Roman" w:cs="Times New Roman"/>
                <w:b/>
                <w:sz w:val="24"/>
                <w:szCs w:val="24"/>
              </w:rPr>
              <w:t xml:space="preserve">who are </w:t>
            </w:r>
            <w:r w:rsidR="008810DE" w:rsidRPr="00323846">
              <w:rPr>
                <w:rFonts w:ascii="Times New Roman" w:hAnsi="Times New Roman" w:cs="Times New Roman"/>
                <w:b/>
                <w:sz w:val="24"/>
                <w:szCs w:val="24"/>
              </w:rPr>
              <w:t>starting on/switching to</w:t>
            </w:r>
            <w:r w:rsidR="008810DE">
              <w:rPr>
                <w:rFonts w:ascii="Times New Roman" w:hAnsi="Times New Roman" w:cs="Times New Roman"/>
                <w:sz w:val="24"/>
                <w:szCs w:val="24"/>
              </w:rPr>
              <w:t xml:space="preserve"> </w:t>
            </w:r>
            <w:proofErr w:type="spellStart"/>
            <w:r w:rsidR="00395C7C">
              <w:rPr>
                <w:rFonts w:ascii="Times New Roman" w:hAnsi="Times New Roman" w:cs="Times New Roman"/>
                <w:b/>
                <w:sz w:val="24"/>
                <w:szCs w:val="24"/>
              </w:rPr>
              <w:t>biosimilar</w:t>
            </w:r>
            <w:proofErr w:type="spellEnd"/>
            <w:r w:rsidR="00395C7C">
              <w:rPr>
                <w:rFonts w:ascii="Times New Roman" w:hAnsi="Times New Roman" w:cs="Times New Roman"/>
                <w:b/>
                <w:sz w:val="24"/>
                <w:szCs w:val="24"/>
              </w:rPr>
              <w:t xml:space="preserve"> drugs</w:t>
            </w:r>
            <w:r w:rsidR="00C73F91">
              <w:rPr>
                <w:rFonts w:ascii="Times New Roman" w:hAnsi="Times New Roman" w:cs="Times New Roman"/>
                <w:b/>
                <w:sz w:val="24"/>
                <w:szCs w:val="24"/>
              </w:rPr>
              <w:t xml:space="preserve"> </w:t>
            </w:r>
            <w:r w:rsidR="008810DE">
              <w:rPr>
                <w:rFonts w:ascii="Times New Roman" w:hAnsi="Times New Roman" w:cs="Times New Roman"/>
                <w:b/>
                <w:sz w:val="24"/>
                <w:szCs w:val="24"/>
              </w:rPr>
              <w:t>or</w:t>
            </w:r>
            <w:r w:rsidR="008810DE" w:rsidRPr="0035730C">
              <w:rPr>
                <w:rFonts w:ascii="Times New Roman" w:hAnsi="Times New Roman" w:cs="Times New Roman"/>
                <w:b/>
                <w:sz w:val="24"/>
                <w:szCs w:val="24"/>
              </w:rPr>
              <w:t xml:space="preserve"> </w:t>
            </w:r>
            <w:r w:rsidR="00395C7C" w:rsidRPr="0065568C">
              <w:rPr>
                <w:rFonts w:ascii="Times New Roman" w:hAnsi="Times New Roman" w:cs="Times New Roman"/>
                <w:b/>
                <w:sz w:val="24"/>
                <w:szCs w:val="24"/>
              </w:rPr>
              <w:t>their equivalent legacy drugs</w:t>
            </w:r>
            <w:r w:rsidR="003A6790">
              <w:rPr>
                <w:rFonts w:ascii="Times New Roman" w:hAnsi="Times New Roman" w:cs="Times New Roman"/>
                <w:b/>
                <w:sz w:val="24"/>
                <w:szCs w:val="24"/>
              </w:rPr>
              <w:t>:</w:t>
            </w:r>
            <w:r w:rsidR="00BE1ABD">
              <w:rPr>
                <w:rFonts w:ascii="Times New Roman" w:hAnsi="Times New Roman" w:cs="Times New Roman"/>
                <w:b/>
                <w:sz w:val="24"/>
                <w:szCs w:val="24"/>
              </w:rPr>
              <w:t xml:space="preserve"> </w:t>
            </w:r>
          </w:p>
          <w:p w:rsidR="009A4418" w:rsidRPr="0035730C" w:rsidRDefault="009A4418" w:rsidP="002F4A00">
            <w:pPr>
              <w:spacing w:after="120"/>
              <w:jc w:val="both"/>
              <w:rPr>
                <w:rFonts w:ascii="Times New Roman" w:hAnsi="Times New Roman" w:cs="Times New Roman"/>
                <w:sz w:val="24"/>
                <w:szCs w:val="24"/>
              </w:rPr>
            </w:pPr>
            <w:r w:rsidRPr="0035730C">
              <w:rPr>
                <w:rFonts w:ascii="Times New Roman" w:hAnsi="Times New Roman" w:cs="Times New Roman"/>
                <w:sz w:val="24"/>
                <w:szCs w:val="24"/>
              </w:rPr>
              <w:t xml:space="preserve">1. Frequency </w:t>
            </w:r>
            <w:r w:rsidR="00BE1ABD">
              <w:rPr>
                <w:rFonts w:ascii="Times New Roman" w:hAnsi="Times New Roman" w:cs="Times New Roman"/>
                <w:sz w:val="24"/>
                <w:szCs w:val="24"/>
              </w:rPr>
              <w:t>of discontinuation of the initial therapy</w:t>
            </w:r>
          </w:p>
          <w:p w:rsidR="009A4418" w:rsidRPr="0035730C" w:rsidRDefault="009A4418" w:rsidP="002F4A00">
            <w:pPr>
              <w:spacing w:after="120"/>
              <w:jc w:val="both"/>
              <w:rPr>
                <w:rFonts w:ascii="Times New Roman" w:hAnsi="Times New Roman" w:cs="Times New Roman"/>
                <w:sz w:val="24"/>
                <w:szCs w:val="24"/>
              </w:rPr>
            </w:pPr>
            <w:r w:rsidRPr="0035730C">
              <w:rPr>
                <w:rFonts w:ascii="Times New Roman" w:hAnsi="Times New Roman" w:cs="Times New Roman"/>
                <w:sz w:val="24"/>
                <w:szCs w:val="24"/>
              </w:rPr>
              <w:t>2. Persistence</w:t>
            </w:r>
            <w:r w:rsidR="00BE1ABD">
              <w:rPr>
                <w:rFonts w:ascii="Times New Roman" w:hAnsi="Times New Roman" w:cs="Times New Roman"/>
                <w:sz w:val="24"/>
                <w:szCs w:val="24"/>
              </w:rPr>
              <w:t xml:space="preserve"> on the initial therapy (time until drug discontinuation)</w:t>
            </w:r>
          </w:p>
          <w:p w:rsidR="009A4418" w:rsidRPr="0035730C" w:rsidRDefault="009A4418" w:rsidP="002F4A00">
            <w:pPr>
              <w:spacing w:after="120"/>
              <w:jc w:val="both"/>
              <w:rPr>
                <w:rFonts w:ascii="Times New Roman" w:hAnsi="Times New Roman" w:cs="Times New Roman"/>
                <w:sz w:val="24"/>
                <w:szCs w:val="24"/>
                <w:lang w:val="en-US"/>
              </w:rPr>
            </w:pPr>
            <w:r w:rsidRPr="0035730C">
              <w:rPr>
                <w:rFonts w:ascii="Times New Roman" w:hAnsi="Times New Roman" w:cs="Times New Roman"/>
                <w:sz w:val="24"/>
                <w:szCs w:val="24"/>
                <w:lang w:val="en-US"/>
              </w:rPr>
              <w:t xml:space="preserve">3. Frequency of patients </w:t>
            </w:r>
            <w:r w:rsidR="00D3556D">
              <w:rPr>
                <w:rFonts w:ascii="Times New Roman" w:hAnsi="Times New Roman" w:cs="Times New Roman"/>
                <w:sz w:val="24"/>
                <w:szCs w:val="24"/>
                <w:lang w:val="en-US"/>
              </w:rPr>
              <w:t>starting</w:t>
            </w:r>
            <w:r w:rsidRPr="0035730C">
              <w:rPr>
                <w:rFonts w:ascii="Times New Roman" w:hAnsi="Times New Roman" w:cs="Times New Roman"/>
                <w:sz w:val="24"/>
                <w:szCs w:val="24"/>
                <w:lang w:val="en-US"/>
              </w:rPr>
              <w:t xml:space="preserve"> or </w:t>
            </w:r>
            <w:r w:rsidR="0035730C" w:rsidRPr="0035730C">
              <w:rPr>
                <w:rFonts w:ascii="Times New Roman" w:hAnsi="Times New Roman" w:cs="Times New Roman"/>
                <w:sz w:val="24"/>
                <w:szCs w:val="24"/>
                <w:lang w:val="en-US"/>
              </w:rPr>
              <w:t>increasing</w:t>
            </w:r>
            <w:r w:rsidR="000677F3">
              <w:rPr>
                <w:rFonts w:ascii="Times New Roman" w:hAnsi="Times New Roman" w:cs="Times New Roman"/>
                <w:sz w:val="24"/>
                <w:szCs w:val="24"/>
              </w:rPr>
              <w:t xml:space="preserve"> prednisone</w:t>
            </w:r>
            <w:r w:rsidR="0035730C" w:rsidRPr="0035730C">
              <w:rPr>
                <w:rFonts w:ascii="Times New Roman" w:hAnsi="Times New Roman" w:cs="Times New Roman"/>
                <w:sz w:val="24"/>
                <w:szCs w:val="24"/>
              </w:rPr>
              <w:t xml:space="preserve"> or other immunosuppressive drugs</w:t>
            </w:r>
          </w:p>
          <w:p w:rsidR="009A4418" w:rsidRPr="0035730C" w:rsidRDefault="009A4418" w:rsidP="002F4A00">
            <w:pPr>
              <w:spacing w:after="120"/>
              <w:jc w:val="both"/>
              <w:rPr>
                <w:rFonts w:ascii="Times New Roman" w:hAnsi="Times New Roman" w:cs="Times New Roman"/>
                <w:sz w:val="24"/>
                <w:szCs w:val="24"/>
              </w:rPr>
            </w:pPr>
            <w:r w:rsidRPr="0035730C">
              <w:rPr>
                <w:rFonts w:ascii="Times New Roman" w:hAnsi="Times New Roman" w:cs="Times New Roman"/>
                <w:sz w:val="24"/>
                <w:szCs w:val="24"/>
              </w:rPr>
              <w:t xml:space="preserve">4. </w:t>
            </w:r>
            <w:r w:rsidR="0035730C" w:rsidRPr="0035730C">
              <w:rPr>
                <w:rFonts w:ascii="Times New Roman" w:hAnsi="Times New Roman" w:cs="Times New Roman"/>
                <w:sz w:val="24"/>
                <w:szCs w:val="24"/>
              </w:rPr>
              <w:t>Frequency</w:t>
            </w:r>
            <w:r w:rsidR="004300F7" w:rsidRPr="0035730C">
              <w:rPr>
                <w:rFonts w:ascii="Times New Roman" w:hAnsi="Times New Roman" w:cs="Times New Roman"/>
                <w:sz w:val="24"/>
                <w:szCs w:val="24"/>
              </w:rPr>
              <w:t xml:space="preserve"> of and t</w:t>
            </w:r>
            <w:r w:rsidRPr="0035730C">
              <w:rPr>
                <w:rFonts w:ascii="Times New Roman" w:hAnsi="Times New Roman" w:cs="Times New Roman"/>
                <w:sz w:val="24"/>
                <w:szCs w:val="24"/>
              </w:rPr>
              <w:t xml:space="preserve">ime to </w:t>
            </w:r>
            <w:r w:rsidR="0035730C" w:rsidRPr="0035730C">
              <w:rPr>
                <w:rFonts w:ascii="Times New Roman" w:hAnsi="Times New Roman" w:cs="Times New Roman"/>
                <w:sz w:val="24"/>
                <w:szCs w:val="24"/>
              </w:rPr>
              <w:t>discontinuation of treatment due to ineffectiveness</w:t>
            </w:r>
          </w:p>
          <w:p w:rsidR="009A4418" w:rsidRPr="0035730C" w:rsidRDefault="009A4418" w:rsidP="002F4A00">
            <w:pPr>
              <w:spacing w:after="120"/>
              <w:jc w:val="both"/>
              <w:rPr>
                <w:rFonts w:ascii="Times New Roman" w:hAnsi="Times New Roman" w:cs="Times New Roman"/>
                <w:sz w:val="24"/>
                <w:szCs w:val="24"/>
              </w:rPr>
            </w:pPr>
            <w:r w:rsidRPr="0035730C">
              <w:rPr>
                <w:rFonts w:ascii="Times New Roman" w:hAnsi="Times New Roman" w:cs="Times New Roman"/>
                <w:sz w:val="24"/>
                <w:szCs w:val="24"/>
              </w:rPr>
              <w:t xml:space="preserve">5. Frequency of </w:t>
            </w:r>
            <w:r w:rsidR="0035730C" w:rsidRPr="0035730C">
              <w:rPr>
                <w:rFonts w:ascii="Times New Roman" w:hAnsi="Times New Roman" w:cs="Times New Roman"/>
                <w:sz w:val="24"/>
                <w:szCs w:val="24"/>
              </w:rPr>
              <w:t xml:space="preserve">and time to </w:t>
            </w:r>
            <w:r w:rsidRPr="0035730C">
              <w:rPr>
                <w:rFonts w:ascii="Times New Roman" w:hAnsi="Times New Roman" w:cs="Times New Roman"/>
                <w:sz w:val="24"/>
                <w:szCs w:val="24"/>
              </w:rPr>
              <w:t>clinical remission</w:t>
            </w:r>
            <w:r w:rsidR="00221FD7" w:rsidRPr="0035730C">
              <w:rPr>
                <w:rFonts w:ascii="Times New Roman" w:hAnsi="Times New Roman" w:cs="Times New Roman"/>
                <w:sz w:val="24"/>
                <w:szCs w:val="24"/>
              </w:rPr>
              <w:t>/induction of response</w:t>
            </w:r>
          </w:p>
          <w:p w:rsidR="009A4418" w:rsidRPr="0035730C" w:rsidRDefault="005D2033" w:rsidP="002F4A00">
            <w:pPr>
              <w:spacing w:after="120"/>
              <w:jc w:val="both"/>
              <w:rPr>
                <w:rFonts w:ascii="Times New Roman" w:hAnsi="Times New Roman" w:cs="Times New Roman"/>
                <w:sz w:val="24"/>
                <w:szCs w:val="24"/>
              </w:rPr>
            </w:pPr>
            <w:r w:rsidRPr="0035730C">
              <w:rPr>
                <w:rFonts w:ascii="Times New Roman" w:hAnsi="Times New Roman" w:cs="Times New Roman"/>
                <w:sz w:val="24"/>
                <w:szCs w:val="24"/>
              </w:rPr>
              <w:t>6. Frequency</w:t>
            </w:r>
            <w:r w:rsidR="0035730C" w:rsidRPr="0035730C">
              <w:rPr>
                <w:rFonts w:ascii="Times New Roman" w:hAnsi="Times New Roman" w:cs="Times New Roman"/>
                <w:sz w:val="24"/>
                <w:szCs w:val="24"/>
              </w:rPr>
              <w:t xml:space="preserve"> of and time to </w:t>
            </w:r>
            <w:r w:rsidRPr="0035730C">
              <w:rPr>
                <w:rFonts w:ascii="Times New Roman" w:hAnsi="Times New Roman" w:cs="Times New Roman"/>
                <w:sz w:val="24"/>
                <w:szCs w:val="24"/>
              </w:rPr>
              <w:t>serious adverse events</w:t>
            </w:r>
            <w:r w:rsidR="0035730C" w:rsidRPr="0035730C">
              <w:rPr>
                <w:rFonts w:ascii="Times New Roman" w:hAnsi="Times New Roman" w:cs="Times New Roman"/>
                <w:sz w:val="24"/>
                <w:szCs w:val="24"/>
              </w:rPr>
              <w:t xml:space="preserve"> </w:t>
            </w:r>
          </w:p>
          <w:p w:rsidR="00F4473F" w:rsidRPr="0035730C" w:rsidRDefault="00F4473F" w:rsidP="002F4A00">
            <w:pPr>
              <w:spacing w:after="120"/>
              <w:jc w:val="both"/>
              <w:rPr>
                <w:rFonts w:ascii="Times New Roman" w:hAnsi="Times New Roman" w:cs="Times New Roman"/>
                <w:sz w:val="24"/>
                <w:szCs w:val="24"/>
              </w:rPr>
            </w:pPr>
          </w:p>
          <w:p w:rsidR="00F4473F" w:rsidRPr="00BE1ABD" w:rsidRDefault="00F4473F" w:rsidP="002F4A00">
            <w:pPr>
              <w:spacing w:after="120"/>
              <w:jc w:val="both"/>
              <w:rPr>
                <w:rFonts w:ascii="Times New Roman" w:hAnsi="Times New Roman" w:cs="Times New Roman"/>
                <w:b/>
                <w:sz w:val="24"/>
                <w:szCs w:val="24"/>
              </w:rPr>
            </w:pPr>
            <w:r w:rsidRPr="00BE1ABD">
              <w:rPr>
                <w:rFonts w:ascii="Times New Roman" w:hAnsi="Times New Roman" w:cs="Times New Roman"/>
                <w:b/>
                <w:sz w:val="24"/>
                <w:szCs w:val="24"/>
              </w:rPr>
              <w:t xml:space="preserve">Secondary </w:t>
            </w:r>
            <w:r w:rsidR="003A6790">
              <w:rPr>
                <w:rFonts w:ascii="Times New Roman" w:hAnsi="Times New Roman" w:cs="Times New Roman"/>
                <w:b/>
                <w:sz w:val="24"/>
                <w:szCs w:val="24"/>
              </w:rPr>
              <w:t>aims</w:t>
            </w:r>
          </w:p>
          <w:p w:rsidR="00F4473F" w:rsidRPr="00FB6AE5" w:rsidRDefault="00F4473F" w:rsidP="002F4A00">
            <w:pPr>
              <w:spacing w:after="120"/>
              <w:jc w:val="both"/>
              <w:rPr>
                <w:rFonts w:ascii="Times New Roman" w:hAnsi="Times New Roman" w:cs="Times New Roman"/>
                <w:b/>
                <w:sz w:val="24"/>
                <w:szCs w:val="24"/>
              </w:rPr>
            </w:pPr>
            <w:r w:rsidRPr="00FB6AE5">
              <w:rPr>
                <w:rFonts w:ascii="Times New Roman" w:hAnsi="Times New Roman" w:cs="Times New Roman"/>
                <w:b/>
                <w:sz w:val="24"/>
                <w:szCs w:val="24"/>
              </w:rPr>
              <w:t xml:space="preserve">To describe </w:t>
            </w:r>
            <w:r w:rsidR="005D2033" w:rsidRPr="00FB6AE5">
              <w:rPr>
                <w:rFonts w:ascii="Times New Roman" w:hAnsi="Times New Roman" w:cs="Times New Roman"/>
                <w:b/>
                <w:sz w:val="24"/>
                <w:szCs w:val="24"/>
              </w:rPr>
              <w:t>in</w:t>
            </w:r>
            <w:r w:rsidRPr="00FB6AE5">
              <w:rPr>
                <w:rFonts w:ascii="Times New Roman" w:hAnsi="Times New Roman" w:cs="Times New Roman"/>
                <w:b/>
                <w:sz w:val="24"/>
                <w:szCs w:val="24"/>
              </w:rPr>
              <w:t xml:space="preserve"> patients who are </w:t>
            </w:r>
            <w:r w:rsidR="008810DE" w:rsidRPr="00323846">
              <w:rPr>
                <w:rFonts w:ascii="Times New Roman" w:hAnsi="Times New Roman" w:cs="Times New Roman"/>
                <w:b/>
                <w:sz w:val="24"/>
                <w:szCs w:val="24"/>
              </w:rPr>
              <w:t xml:space="preserve">starting on/switching to </w:t>
            </w:r>
            <w:proofErr w:type="spellStart"/>
            <w:r w:rsidR="00395C7C">
              <w:rPr>
                <w:rFonts w:ascii="Times New Roman" w:hAnsi="Times New Roman" w:cs="Times New Roman"/>
                <w:b/>
                <w:sz w:val="24"/>
                <w:szCs w:val="24"/>
              </w:rPr>
              <w:t>biosimilar</w:t>
            </w:r>
            <w:proofErr w:type="spellEnd"/>
            <w:r w:rsidR="00395C7C">
              <w:rPr>
                <w:rFonts w:ascii="Times New Roman" w:hAnsi="Times New Roman" w:cs="Times New Roman"/>
                <w:b/>
                <w:sz w:val="24"/>
                <w:szCs w:val="24"/>
              </w:rPr>
              <w:t xml:space="preserve"> drugs </w:t>
            </w:r>
            <w:r w:rsidR="001D0B8D" w:rsidRPr="00FB6AE5">
              <w:rPr>
                <w:rFonts w:ascii="Times New Roman" w:hAnsi="Times New Roman" w:cs="Times New Roman"/>
                <w:b/>
                <w:sz w:val="24"/>
                <w:szCs w:val="24"/>
              </w:rPr>
              <w:t xml:space="preserve">or </w:t>
            </w:r>
            <w:r w:rsidR="00395C7C" w:rsidRPr="0065568C">
              <w:rPr>
                <w:rFonts w:ascii="Times New Roman" w:hAnsi="Times New Roman" w:cs="Times New Roman"/>
                <w:b/>
                <w:sz w:val="24"/>
                <w:szCs w:val="24"/>
              </w:rPr>
              <w:t>their equivalent legacy drugs</w:t>
            </w:r>
            <w:r w:rsidR="00FB6AE5" w:rsidRPr="00FB6AE5">
              <w:rPr>
                <w:rFonts w:ascii="Times New Roman" w:hAnsi="Times New Roman" w:cs="Times New Roman"/>
                <w:b/>
                <w:sz w:val="24"/>
                <w:szCs w:val="24"/>
              </w:rPr>
              <w:t>:</w:t>
            </w:r>
          </w:p>
          <w:p w:rsidR="003E1164" w:rsidRPr="0035730C" w:rsidRDefault="003E1164" w:rsidP="002F4A00">
            <w:pPr>
              <w:pStyle w:val="ListParagraph"/>
              <w:numPr>
                <w:ilvl w:val="0"/>
                <w:numId w:val="13"/>
              </w:numPr>
              <w:spacing w:after="120"/>
              <w:ind w:left="306" w:hanging="284"/>
              <w:jc w:val="both"/>
              <w:rPr>
                <w:rFonts w:ascii="Times New Roman" w:hAnsi="Times New Roman" w:cs="Times New Roman"/>
                <w:sz w:val="24"/>
                <w:szCs w:val="24"/>
              </w:rPr>
            </w:pPr>
            <w:r w:rsidRPr="0035730C">
              <w:rPr>
                <w:rFonts w:ascii="Times New Roman" w:hAnsi="Times New Roman" w:cs="Times New Roman"/>
                <w:sz w:val="24"/>
                <w:szCs w:val="24"/>
              </w:rPr>
              <w:t>C</w:t>
            </w:r>
            <w:r w:rsidR="008B2B0B" w:rsidRPr="0035730C">
              <w:rPr>
                <w:rFonts w:ascii="Times New Roman" w:hAnsi="Times New Roman" w:cs="Times New Roman"/>
                <w:sz w:val="24"/>
                <w:szCs w:val="24"/>
              </w:rPr>
              <w:t>hang</w:t>
            </w:r>
            <w:r w:rsidRPr="0035730C">
              <w:rPr>
                <w:rFonts w:ascii="Times New Roman" w:hAnsi="Times New Roman" w:cs="Times New Roman"/>
                <w:sz w:val="24"/>
                <w:szCs w:val="24"/>
              </w:rPr>
              <w:t>e in disease activity over time</w:t>
            </w:r>
          </w:p>
          <w:p w:rsidR="00113AB9" w:rsidRPr="003A0760" w:rsidRDefault="00113AB9" w:rsidP="002F4A00">
            <w:pPr>
              <w:pStyle w:val="ListParagraph"/>
              <w:numPr>
                <w:ilvl w:val="0"/>
                <w:numId w:val="13"/>
              </w:numPr>
              <w:spacing w:after="120"/>
              <w:ind w:left="306" w:hanging="284"/>
              <w:jc w:val="both"/>
              <w:rPr>
                <w:rFonts w:ascii="Times New Roman" w:hAnsi="Times New Roman" w:cs="Times New Roman"/>
                <w:sz w:val="24"/>
                <w:szCs w:val="24"/>
              </w:rPr>
            </w:pPr>
            <w:r w:rsidRPr="003A0760">
              <w:rPr>
                <w:rFonts w:ascii="Times New Roman" w:hAnsi="Times New Roman" w:cs="Times New Roman"/>
                <w:sz w:val="24"/>
                <w:szCs w:val="24"/>
              </w:rPr>
              <w:t>The frequency of</w:t>
            </w:r>
            <w:r w:rsidR="00D05B34">
              <w:rPr>
                <w:rFonts w:ascii="Times New Roman" w:hAnsi="Times New Roman" w:cs="Times New Roman"/>
                <w:sz w:val="24"/>
                <w:szCs w:val="24"/>
              </w:rPr>
              <w:t>,</w:t>
            </w:r>
            <w:r w:rsidRPr="003A0760">
              <w:rPr>
                <w:rFonts w:ascii="Times New Roman" w:hAnsi="Times New Roman" w:cs="Times New Roman"/>
                <w:sz w:val="24"/>
                <w:szCs w:val="24"/>
              </w:rPr>
              <w:t xml:space="preserve"> and time to</w:t>
            </w:r>
            <w:r w:rsidR="00D05B34">
              <w:rPr>
                <w:rFonts w:ascii="Times New Roman" w:hAnsi="Times New Roman" w:cs="Times New Roman"/>
                <w:sz w:val="24"/>
                <w:szCs w:val="24"/>
              </w:rPr>
              <w:t>,</w:t>
            </w:r>
            <w:r w:rsidRPr="003A0760">
              <w:rPr>
                <w:rFonts w:ascii="Times New Roman" w:hAnsi="Times New Roman" w:cs="Times New Roman"/>
                <w:sz w:val="24"/>
                <w:szCs w:val="24"/>
              </w:rPr>
              <w:t xml:space="preserve"> long-term outcomes (sustained remission, erosions in RA, radiographic progression in AS, and endoscopic mucosal healing scores in CD and U</w:t>
            </w:r>
            <w:r w:rsidRPr="00850F5E">
              <w:rPr>
                <w:rFonts w:ascii="Times New Roman" w:hAnsi="Times New Roman" w:cs="Times New Roman"/>
                <w:sz w:val="24"/>
                <w:szCs w:val="24"/>
              </w:rPr>
              <w:t>C</w:t>
            </w:r>
            <w:r w:rsidR="00D05B34">
              <w:rPr>
                <w:rFonts w:ascii="Times New Roman" w:hAnsi="Times New Roman" w:cs="Times New Roman"/>
                <w:sz w:val="24"/>
                <w:szCs w:val="24"/>
              </w:rPr>
              <w:t>)</w:t>
            </w:r>
            <w:r w:rsidRPr="00850F5E">
              <w:rPr>
                <w:rFonts w:ascii="Times New Roman" w:hAnsi="Times New Roman" w:cs="Times New Roman"/>
                <w:sz w:val="24"/>
                <w:szCs w:val="24"/>
              </w:rPr>
              <w:t>.</w:t>
            </w:r>
          </w:p>
          <w:p w:rsidR="001F2244" w:rsidRPr="00323846" w:rsidRDefault="0035730C" w:rsidP="002F4A00">
            <w:pPr>
              <w:pStyle w:val="ListParagraph"/>
              <w:numPr>
                <w:ilvl w:val="0"/>
                <w:numId w:val="13"/>
              </w:numPr>
              <w:spacing w:after="120"/>
              <w:ind w:left="306" w:hanging="284"/>
              <w:jc w:val="both"/>
              <w:rPr>
                <w:rFonts w:ascii="Times New Roman" w:hAnsi="Times New Roman" w:cs="Times New Roman"/>
                <w:sz w:val="24"/>
                <w:szCs w:val="24"/>
              </w:rPr>
            </w:pPr>
            <w:r w:rsidRPr="0035730C">
              <w:rPr>
                <w:rFonts w:ascii="Times New Roman" w:hAnsi="Times New Roman" w:cs="Times New Roman"/>
                <w:sz w:val="24"/>
                <w:szCs w:val="24"/>
              </w:rPr>
              <w:t xml:space="preserve">Change in quality of life measures over time   </w:t>
            </w:r>
            <w:r w:rsidRPr="0035730C">
              <w:rPr>
                <w:rFonts w:ascii="Times New Roman" w:hAnsi="Times New Roman" w:cs="Times New Roman"/>
                <w:sz w:val="24"/>
                <w:szCs w:val="24"/>
                <w:lang w:val="en-US"/>
              </w:rPr>
              <w:t xml:space="preserve"> </w:t>
            </w:r>
          </w:p>
        </w:tc>
      </w:tr>
      <w:tr w:rsidR="00B7667F" w:rsidRPr="00EF3776" w:rsidTr="00AA12A2">
        <w:tc>
          <w:tcPr>
            <w:tcW w:w="2547" w:type="dxa"/>
          </w:tcPr>
          <w:p w:rsidR="00B7667F" w:rsidRPr="00EF3776" w:rsidRDefault="00B7667F"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 xml:space="preserve">Study </w:t>
            </w:r>
            <w:r w:rsidR="001C3402" w:rsidRPr="00EF3776">
              <w:rPr>
                <w:rFonts w:ascii="Times New Roman" w:hAnsi="Times New Roman" w:cs="Times New Roman"/>
                <w:b/>
                <w:sz w:val="24"/>
                <w:szCs w:val="24"/>
              </w:rPr>
              <w:t>design</w:t>
            </w:r>
          </w:p>
        </w:tc>
        <w:tc>
          <w:tcPr>
            <w:tcW w:w="6803" w:type="dxa"/>
          </w:tcPr>
          <w:p w:rsidR="00B7667F" w:rsidRPr="00EF3776" w:rsidRDefault="00B7667F"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 xml:space="preserve">Prospective </w:t>
            </w:r>
            <w:r w:rsidR="00FC6D24">
              <w:rPr>
                <w:rFonts w:ascii="Times New Roman" w:hAnsi="Times New Roman" w:cs="Times New Roman"/>
                <w:sz w:val="24"/>
                <w:szCs w:val="24"/>
              </w:rPr>
              <w:t xml:space="preserve">and retrospective </w:t>
            </w:r>
            <w:r w:rsidRPr="00EF3776">
              <w:rPr>
                <w:rFonts w:ascii="Times New Roman" w:hAnsi="Times New Roman" w:cs="Times New Roman"/>
                <w:sz w:val="24"/>
                <w:szCs w:val="24"/>
              </w:rPr>
              <w:t xml:space="preserve">cohort </w:t>
            </w:r>
          </w:p>
        </w:tc>
      </w:tr>
      <w:tr w:rsidR="00B7667F" w:rsidRPr="00EF3776" w:rsidTr="00AA12A2">
        <w:tc>
          <w:tcPr>
            <w:tcW w:w="2547" w:type="dxa"/>
          </w:tcPr>
          <w:p w:rsidR="00B7667F" w:rsidRPr="00EF3776" w:rsidRDefault="00B7667F"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Conditions</w:t>
            </w:r>
          </w:p>
        </w:tc>
        <w:tc>
          <w:tcPr>
            <w:tcW w:w="6803" w:type="dxa"/>
          </w:tcPr>
          <w:p w:rsidR="00B7667F" w:rsidRPr="00EF3776" w:rsidRDefault="00113AB9" w:rsidP="002F4A00">
            <w:pPr>
              <w:spacing w:after="120"/>
              <w:jc w:val="both"/>
              <w:rPr>
                <w:rFonts w:ascii="Times New Roman" w:hAnsi="Times New Roman" w:cs="Times New Roman"/>
                <w:sz w:val="24"/>
                <w:szCs w:val="24"/>
              </w:rPr>
            </w:pPr>
            <w:r>
              <w:rPr>
                <w:rFonts w:ascii="Times New Roman" w:hAnsi="Times New Roman" w:cs="Times New Roman"/>
                <w:sz w:val="24"/>
                <w:szCs w:val="24"/>
              </w:rPr>
              <w:t>Inflammatory</w:t>
            </w:r>
            <w:r w:rsidR="00C82168">
              <w:rPr>
                <w:rFonts w:ascii="Times New Roman" w:hAnsi="Times New Roman" w:cs="Times New Roman"/>
                <w:sz w:val="24"/>
                <w:szCs w:val="24"/>
              </w:rPr>
              <w:t xml:space="preserve"> </w:t>
            </w:r>
            <w:r w:rsidR="00E87139" w:rsidRPr="00E87139">
              <w:rPr>
                <w:rFonts w:ascii="Times New Roman" w:hAnsi="Times New Roman" w:cs="Times New Roman"/>
                <w:sz w:val="24"/>
                <w:szCs w:val="24"/>
              </w:rPr>
              <w:t>rheumatic diseases</w:t>
            </w:r>
            <w:r w:rsidR="00C82168">
              <w:rPr>
                <w:rFonts w:ascii="Times New Roman" w:hAnsi="Times New Roman" w:cs="Times New Roman"/>
                <w:sz w:val="24"/>
                <w:szCs w:val="24"/>
              </w:rPr>
              <w:t xml:space="preserve">- </w:t>
            </w:r>
            <w:r w:rsidR="00B7667F" w:rsidRPr="00EF3776">
              <w:rPr>
                <w:rFonts w:ascii="Times New Roman" w:hAnsi="Times New Roman" w:cs="Times New Roman"/>
                <w:sz w:val="24"/>
                <w:szCs w:val="24"/>
              </w:rPr>
              <w:t>Rheumatoid Arthritis (RA)</w:t>
            </w:r>
            <w:r w:rsidR="00C82168">
              <w:rPr>
                <w:rFonts w:ascii="Times New Roman" w:hAnsi="Times New Roman" w:cs="Times New Roman"/>
                <w:sz w:val="24"/>
                <w:szCs w:val="24"/>
              </w:rPr>
              <w:t xml:space="preserve"> and </w:t>
            </w:r>
            <w:r w:rsidR="00B7667F" w:rsidRPr="00EF3776">
              <w:rPr>
                <w:rFonts w:ascii="Times New Roman" w:hAnsi="Times New Roman" w:cs="Times New Roman"/>
                <w:sz w:val="24"/>
                <w:szCs w:val="24"/>
              </w:rPr>
              <w:t>Ankylosing Spondylitis (AS)</w:t>
            </w:r>
          </w:p>
          <w:p w:rsidR="001C3402" w:rsidRPr="00EF3776" w:rsidRDefault="001D4A16"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Inflammatory Bowel Disease</w:t>
            </w:r>
            <w:r w:rsidR="00C82168">
              <w:rPr>
                <w:rFonts w:ascii="Times New Roman" w:hAnsi="Times New Roman" w:cs="Times New Roman"/>
                <w:sz w:val="24"/>
                <w:szCs w:val="24"/>
              </w:rPr>
              <w:t>s (</w:t>
            </w:r>
            <w:r w:rsidR="001C3402" w:rsidRPr="00EF3776">
              <w:rPr>
                <w:rFonts w:ascii="Times New Roman" w:hAnsi="Times New Roman" w:cs="Times New Roman"/>
                <w:sz w:val="24"/>
                <w:szCs w:val="24"/>
              </w:rPr>
              <w:t>IBD</w:t>
            </w:r>
            <w:r w:rsidR="00C82168">
              <w:rPr>
                <w:rFonts w:ascii="Times New Roman" w:hAnsi="Times New Roman" w:cs="Times New Roman"/>
                <w:sz w:val="24"/>
                <w:szCs w:val="24"/>
              </w:rPr>
              <w:t>) -</w:t>
            </w:r>
            <w:r w:rsidRPr="00EF3776">
              <w:rPr>
                <w:rFonts w:ascii="Times New Roman" w:hAnsi="Times New Roman" w:cs="Times New Roman"/>
                <w:sz w:val="24"/>
                <w:szCs w:val="24"/>
              </w:rPr>
              <w:t xml:space="preserve"> </w:t>
            </w:r>
            <w:r w:rsidR="00CD6922" w:rsidRPr="00EF3776">
              <w:rPr>
                <w:rFonts w:ascii="Times New Roman" w:hAnsi="Times New Roman" w:cs="Times New Roman"/>
                <w:sz w:val="24"/>
                <w:szCs w:val="24"/>
              </w:rPr>
              <w:t>Crohn's disease</w:t>
            </w:r>
            <w:r w:rsidRPr="00EF3776">
              <w:rPr>
                <w:rFonts w:ascii="Times New Roman" w:hAnsi="Times New Roman" w:cs="Times New Roman"/>
                <w:sz w:val="24"/>
                <w:szCs w:val="24"/>
              </w:rPr>
              <w:t xml:space="preserve"> </w:t>
            </w:r>
            <w:r w:rsidR="00C82168">
              <w:rPr>
                <w:rFonts w:ascii="Times New Roman" w:hAnsi="Times New Roman" w:cs="Times New Roman"/>
                <w:sz w:val="24"/>
                <w:szCs w:val="24"/>
              </w:rPr>
              <w:t>(</w:t>
            </w:r>
            <w:r w:rsidR="00CD6922" w:rsidRPr="00EF3776">
              <w:rPr>
                <w:rFonts w:ascii="Times New Roman" w:hAnsi="Times New Roman" w:cs="Times New Roman"/>
                <w:sz w:val="24"/>
                <w:szCs w:val="24"/>
              </w:rPr>
              <w:t>CD</w:t>
            </w:r>
            <w:r w:rsidR="00C82168">
              <w:rPr>
                <w:rFonts w:ascii="Times New Roman" w:hAnsi="Times New Roman" w:cs="Times New Roman"/>
                <w:sz w:val="24"/>
                <w:szCs w:val="24"/>
              </w:rPr>
              <w:t>)</w:t>
            </w:r>
            <w:r w:rsidRPr="00EF3776">
              <w:rPr>
                <w:rFonts w:ascii="Times New Roman" w:hAnsi="Times New Roman" w:cs="Times New Roman"/>
                <w:sz w:val="24"/>
                <w:szCs w:val="24"/>
              </w:rPr>
              <w:t xml:space="preserve"> </w:t>
            </w:r>
            <w:r w:rsidR="00C82168">
              <w:rPr>
                <w:rFonts w:ascii="Times New Roman" w:hAnsi="Times New Roman" w:cs="Times New Roman"/>
                <w:sz w:val="24"/>
                <w:szCs w:val="24"/>
              </w:rPr>
              <w:t>and</w:t>
            </w:r>
            <w:r w:rsidR="00C82168" w:rsidRPr="00EF3776">
              <w:rPr>
                <w:rFonts w:ascii="Times New Roman" w:hAnsi="Times New Roman" w:cs="Times New Roman"/>
                <w:sz w:val="24"/>
                <w:szCs w:val="24"/>
              </w:rPr>
              <w:t xml:space="preserve"> </w:t>
            </w:r>
            <w:r w:rsidRPr="00EF3776">
              <w:rPr>
                <w:rFonts w:ascii="Times New Roman" w:hAnsi="Times New Roman" w:cs="Times New Roman"/>
                <w:sz w:val="24"/>
                <w:szCs w:val="24"/>
              </w:rPr>
              <w:t>Ulcerative Colitis</w:t>
            </w:r>
            <w:r w:rsidR="00CD6922" w:rsidRPr="00EF3776">
              <w:rPr>
                <w:rFonts w:ascii="Times New Roman" w:hAnsi="Times New Roman" w:cs="Times New Roman"/>
                <w:sz w:val="24"/>
                <w:szCs w:val="24"/>
              </w:rPr>
              <w:t xml:space="preserve"> </w:t>
            </w:r>
            <w:r w:rsidR="00C82168">
              <w:rPr>
                <w:rFonts w:ascii="Times New Roman" w:hAnsi="Times New Roman" w:cs="Times New Roman"/>
                <w:sz w:val="24"/>
                <w:szCs w:val="24"/>
              </w:rPr>
              <w:t>(</w:t>
            </w:r>
            <w:r w:rsidRPr="00EF3776">
              <w:rPr>
                <w:rFonts w:ascii="Times New Roman" w:hAnsi="Times New Roman" w:cs="Times New Roman"/>
                <w:sz w:val="24"/>
                <w:szCs w:val="24"/>
              </w:rPr>
              <w:t>UC)</w:t>
            </w:r>
          </w:p>
        </w:tc>
      </w:tr>
      <w:tr w:rsidR="003D2687" w:rsidRPr="00EF3776" w:rsidTr="00AA12A2">
        <w:tc>
          <w:tcPr>
            <w:tcW w:w="2547" w:type="dxa"/>
          </w:tcPr>
          <w:p w:rsidR="003D2687" w:rsidRPr="00EF3776" w:rsidRDefault="00785692"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Study population</w:t>
            </w:r>
          </w:p>
        </w:tc>
        <w:tc>
          <w:tcPr>
            <w:tcW w:w="6803" w:type="dxa"/>
          </w:tcPr>
          <w:p w:rsidR="00B7667F" w:rsidRPr="00EF3776" w:rsidRDefault="00785692"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Adult patients (</w:t>
            </w:r>
            <w:r w:rsidR="00B7667F" w:rsidRPr="00EF3776">
              <w:rPr>
                <w:rFonts w:ascii="Times New Roman" w:hAnsi="Times New Roman" w:cs="Times New Roman"/>
                <w:sz w:val="24"/>
                <w:szCs w:val="24"/>
              </w:rPr>
              <w:t>18 years and older</w:t>
            </w:r>
            <w:r w:rsidRPr="00EF3776">
              <w:rPr>
                <w:rFonts w:ascii="Times New Roman" w:hAnsi="Times New Roman" w:cs="Times New Roman"/>
                <w:sz w:val="24"/>
                <w:szCs w:val="24"/>
              </w:rPr>
              <w:t xml:space="preserve">) from both sexes, in one of the conditions listed above, treated with </w:t>
            </w:r>
            <w:r w:rsidR="00C73F91">
              <w:rPr>
                <w:rFonts w:ascii="Times New Roman" w:hAnsi="Times New Roman" w:cs="Times New Roman"/>
                <w:sz w:val="24"/>
                <w:szCs w:val="24"/>
              </w:rPr>
              <w:t xml:space="preserve">biosimilar </w:t>
            </w:r>
            <w:r w:rsidRPr="00EF3776">
              <w:rPr>
                <w:rFonts w:ascii="Times New Roman" w:hAnsi="Times New Roman" w:cs="Times New Roman"/>
                <w:sz w:val="24"/>
                <w:szCs w:val="24"/>
              </w:rPr>
              <w:t xml:space="preserve">or </w:t>
            </w:r>
            <w:r w:rsidR="00A61C0D">
              <w:rPr>
                <w:rFonts w:ascii="Times New Roman" w:hAnsi="Times New Roman" w:cs="Times New Roman"/>
                <w:sz w:val="24"/>
                <w:szCs w:val="24"/>
              </w:rPr>
              <w:t>its</w:t>
            </w:r>
            <w:r w:rsidR="00395C7C">
              <w:rPr>
                <w:rFonts w:ascii="Times New Roman" w:hAnsi="Times New Roman" w:cs="Times New Roman"/>
                <w:sz w:val="24"/>
                <w:szCs w:val="24"/>
              </w:rPr>
              <w:t xml:space="preserve"> equivalent legacy drugs</w:t>
            </w:r>
            <w:r w:rsidRPr="00EF3776">
              <w:rPr>
                <w:rFonts w:ascii="Times New Roman" w:hAnsi="Times New Roman" w:cs="Times New Roman"/>
                <w:sz w:val="24"/>
                <w:szCs w:val="24"/>
              </w:rPr>
              <w:t xml:space="preserve">. </w:t>
            </w:r>
          </w:p>
        </w:tc>
      </w:tr>
      <w:tr w:rsidR="0005130D" w:rsidRPr="00EF3776" w:rsidTr="00AA12A2">
        <w:tc>
          <w:tcPr>
            <w:tcW w:w="2547" w:type="dxa"/>
          </w:tcPr>
          <w:p w:rsidR="0005130D" w:rsidRPr="00EF3776" w:rsidRDefault="00F56638"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 xml:space="preserve">Estimated </w:t>
            </w:r>
            <w:r w:rsidR="00313177">
              <w:rPr>
                <w:rFonts w:ascii="Times New Roman" w:hAnsi="Times New Roman" w:cs="Times New Roman"/>
                <w:b/>
                <w:sz w:val="24"/>
                <w:szCs w:val="24"/>
              </w:rPr>
              <w:t>enrolment</w:t>
            </w:r>
            <w:r w:rsidR="0005130D" w:rsidRPr="00EF3776">
              <w:rPr>
                <w:rFonts w:ascii="Times New Roman" w:hAnsi="Times New Roman" w:cs="Times New Roman"/>
                <w:b/>
                <w:sz w:val="24"/>
                <w:szCs w:val="24"/>
              </w:rPr>
              <w:t xml:space="preserve"> start date</w:t>
            </w:r>
          </w:p>
        </w:tc>
        <w:tc>
          <w:tcPr>
            <w:tcW w:w="6803" w:type="dxa"/>
          </w:tcPr>
          <w:p w:rsidR="0005130D" w:rsidRPr="00EF3776" w:rsidRDefault="00BE2AE6" w:rsidP="002F4A00">
            <w:pPr>
              <w:spacing w:after="120"/>
              <w:jc w:val="both"/>
              <w:rPr>
                <w:rFonts w:ascii="Times New Roman" w:hAnsi="Times New Roman" w:cs="Times New Roman"/>
                <w:sz w:val="24"/>
                <w:szCs w:val="24"/>
              </w:rPr>
            </w:pPr>
            <w:r>
              <w:rPr>
                <w:rFonts w:ascii="Times New Roman" w:hAnsi="Times New Roman" w:cs="Times New Roman"/>
                <w:sz w:val="24"/>
                <w:szCs w:val="24"/>
              </w:rPr>
              <w:t>October</w:t>
            </w:r>
            <w:r w:rsidRPr="00EF3776">
              <w:rPr>
                <w:rFonts w:ascii="Times New Roman" w:hAnsi="Times New Roman" w:cs="Times New Roman"/>
                <w:sz w:val="24"/>
                <w:szCs w:val="24"/>
              </w:rPr>
              <w:t xml:space="preserve"> </w:t>
            </w:r>
            <w:r w:rsidR="0005130D" w:rsidRPr="00EF3776">
              <w:rPr>
                <w:rFonts w:ascii="Times New Roman" w:hAnsi="Times New Roman" w:cs="Times New Roman"/>
                <w:sz w:val="24"/>
                <w:szCs w:val="24"/>
              </w:rPr>
              <w:t>201</w:t>
            </w:r>
            <w:r w:rsidR="003A272E" w:rsidRPr="00EF3776">
              <w:rPr>
                <w:rFonts w:ascii="Times New Roman" w:hAnsi="Times New Roman" w:cs="Times New Roman"/>
                <w:sz w:val="24"/>
                <w:szCs w:val="24"/>
              </w:rPr>
              <w:t>8</w:t>
            </w:r>
          </w:p>
        </w:tc>
      </w:tr>
      <w:tr w:rsidR="0005130D" w:rsidRPr="00EF3776" w:rsidTr="00AA12A2">
        <w:tc>
          <w:tcPr>
            <w:tcW w:w="2547" w:type="dxa"/>
          </w:tcPr>
          <w:p w:rsidR="0005130D" w:rsidRPr="00EF3776" w:rsidRDefault="00F56638"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 xml:space="preserve">Estimated </w:t>
            </w:r>
            <w:r w:rsidR="00313177">
              <w:rPr>
                <w:rFonts w:ascii="Times New Roman" w:hAnsi="Times New Roman" w:cs="Times New Roman"/>
                <w:b/>
                <w:sz w:val="24"/>
                <w:szCs w:val="24"/>
              </w:rPr>
              <w:t>enrolment</w:t>
            </w:r>
            <w:r w:rsidR="0005130D" w:rsidRPr="00EF3776">
              <w:rPr>
                <w:rFonts w:ascii="Times New Roman" w:hAnsi="Times New Roman" w:cs="Times New Roman"/>
                <w:b/>
                <w:sz w:val="24"/>
                <w:szCs w:val="24"/>
              </w:rPr>
              <w:t xml:space="preserve"> end date</w:t>
            </w:r>
          </w:p>
        </w:tc>
        <w:tc>
          <w:tcPr>
            <w:tcW w:w="6803" w:type="dxa"/>
          </w:tcPr>
          <w:p w:rsidR="0005130D" w:rsidRPr="00EF3776" w:rsidRDefault="00BE2AE6" w:rsidP="002F4A00">
            <w:pPr>
              <w:spacing w:after="120"/>
              <w:jc w:val="both"/>
              <w:rPr>
                <w:rFonts w:ascii="Times New Roman" w:hAnsi="Times New Roman" w:cs="Times New Roman"/>
                <w:sz w:val="24"/>
                <w:szCs w:val="24"/>
              </w:rPr>
            </w:pPr>
            <w:r>
              <w:rPr>
                <w:rFonts w:ascii="Times New Roman" w:hAnsi="Times New Roman" w:cs="Times New Roman"/>
                <w:sz w:val="24"/>
                <w:szCs w:val="24"/>
              </w:rPr>
              <w:t>March</w:t>
            </w:r>
            <w:r w:rsidRPr="00EF3776">
              <w:rPr>
                <w:rFonts w:ascii="Times New Roman" w:hAnsi="Times New Roman" w:cs="Times New Roman"/>
                <w:sz w:val="24"/>
                <w:szCs w:val="24"/>
              </w:rPr>
              <w:t xml:space="preserve"> </w:t>
            </w:r>
            <w:r w:rsidR="0005130D" w:rsidRPr="00EF3776">
              <w:rPr>
                <w:rFonts w:ascii="Times New Roman" w:hAnsi="Times New Roman" w:cs="Times New Roman"/>
                <w:sz w:val="24"/>
                <w:szCs w:val="24"/>
              </w:rPr>
              <w:t>20</w:t>
            </w:r>
            <w:r w:rsidR="003A272E" w:rsidRPr="00EF3776">
              <w:rPr>
                <w:rFonts w:ascii="Times New Roman" w:hAnsi="Times New Roman" w:cs="Times New Roman"/>
                <w:sz w:val="24"/>
                <w:szCs w:val="24"/>
              </w:rPr>
              <w:t>2</w:t>
            </w:r>
            <w:r>
              <w:rPr>
                <w:rFonts w:ascii="Times New Roman" w:hAnsi="Times New Roman" w:cs="Times New Roman"/>
                <w:sz w:val="24"/>
                <w:szCs w:val="24"/>
              </w:rPr>
              <w:t>1</w:t>
            </w:r>
          </w:p>
        </w:tc>
      </w:tr>
      <w:tr w:rsidR="00476EE4" w:rsidRPr="00EF3776" w:rsidTr="00AA12A2">
        <w:tc>
          <w:tcPr>
            <w:tcW w:w="2547" w:type="dxa"/>
          </w:tcPr>
          <w:p w:rsidR="00476EE4" w:rsidRPr="00EF3776" w:rsidRDefault="00476EE4"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lastRenderedPageBreak/>
              <w:t>Follow-up time</w:t>
            </w:r>
          </w:p>
        </w:tc>
        <w:tc>
          <w:tcPr>
            <w:tcW w:w="6803" w:type="dxa"/>
          </w:tcPr>
          <w:p w:rsidR="00476EE4" w:rsidRPr="00EF3776" w:rsidRDefault="0074756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 xml:space="preserve">Minimum </w:t>
            </w:r>
            <w:r w:rsidR="0055179E">
              <w:rPr>
                <w:rFonts w:ascii="Times New Roman" w:hAnsi="Times New Roman" w:cs="Times New Roman"/>
                <w:sz w:val="24"/>
                <w:szCs w:val="24"/>
              </w:rPr>
              <w:t>2</w:t>
            </w:r>
            <w:r w:rsidR="0013629B" w:rsidRPr="00EF3776">
              <w:rPr>
                <w:rFonts w:ascii="Times New Roman" w:hAnsi="Times New Roman" w:cs="Times New Roman"/>
                <w:sz w:val="24"/>
                <w:szCs w:val="24"/>
              </w:rPr>
              <w:t xml:space="preserve"> </w:t>
            </w:r>
            <w:r w:rsidR="00476EE4" w:rsidRPr="00EF3776">
              <w:rPr>
                <w:rFonts w:ascii="Times New Roman" w:hAnsi="Times New Roman" w:cs="Times New Roman"/>
                <w:sz w:val="24"/>
                <w:szCs w:val="24"/>
              </w:rPr>
              <w:t>years</w:t>
            </w:r>
            <w:r w:rsidRPr="00EF3776">
              <w:rPr>
                <w:rFonts w:ascii="Times New Roman" w:hAnsi="Times New Roman" w:cs="Times New Roman"/>
                <w:sz w:val="24"/>
                <w:szCs w:val="24"/>
              </w:rPr>
              <w:t xml:space="preserve"> (maximum 4</w:t>
            </w:r>
            <w:r w:rsidR="0055179E">
              <w:rPr>
                <w:rFonts w:ascii="Times New Roman" w:hAnsi="Times New Roman" w:cs="Times New Roman"/>
                <w:sz w:val="24"/>
                <w:szCs w:val="24"/>
              </w:rPr>
              <w:t>.5</w:t>
            </w:r>
            <w:r w:rsidRPr="00EF3776">
              <w:rPr>
                <w:rFonts w:ascii="Times New Roman" w:hAnsi="Times New Roman" w:cs="Times New Roman"/>
                <w:sz w:val="24"/>
                <w:szCs w:val="24"/>
              </w:rPr>
              <w:t>)</w:t>
            </w:r>
          </w:p>
        </w:tc>
      </w:tr>
      <w:tr w:rsidR="00F56638" w:rsidRPr="00EF3776" w:rsidTr="00AA12A2">
        <w:tc>
          <w:tcPr>
            <w:tcW w:w="2547" w:type="dxa"/>
          </w:tcPr>
          <w:p w:rsidR="00F56638" w:rsidRPr="00EF3776" w:rsidRDefault="00313177" w:rsidP="002F4A00">
            <w:pPr>
              <w:spacing w:after="120"/>
              <w:rPr>
                <w:rFonts w:ascii="Times New Roman" w:hAnsi="Times New Roman" w:cs="Times New Roman"/>
                <w:b/>
                <w:sz w:val="24"/>
                <w:szCs w:val="24"/>
              </w:rPr>
            </w:pPr>
            <w:r>
              <w:rPr>
                <w:rFonts w:ascii="Times New Roman" w:hAnsi="Times New Roman" w:cs="Times New Roman"/>
                <w:b/>
                <w:sz w:val="24"/>
                <w:szCs w:val="24"/>
              </w:rPr>
              <w:t>Estimated study completion d</w:t>
            </w:r>
            <w:r w:rsidR="00F56638" w:rsidRPr="00EF3776">
              <w:rPr>
                <w:rFonts w:ascii="Times New Roman" w:hAnsi="Times New Roman" w:cs="Times New Roman"/>
                <w:b/>
                <w:sz w:val="24"/>
                <w:szCs w:val="24"/>
              </w:rPr>
              <w:t>ate</w:t>
            </w:r>
          </w:p>
        </w:tc>
        <w:tc>
          <w:tcPr>
            <w:tcW w:w="6803" w:type="dxa"/>
          </w:tcPr>
          <w:p w:rsidR="00F56638" w:rsidRPr="00EF3776" w:rsidRDefault="00313177" w:rsidP="002F4A00">
            <w:pPr>
              <w:spacing w:after="120"/>
              <w:jc w:val="both"/>
              <w:rPr>
                <w:rFonts w:ascii="Times New Roman" w:hAnsi="Times New Roman" w:cs="Times New Roman"/>
                <w:sz w:val="24"/>
                <w:szCs w:val="24"/>
              </w:rPr>
            </w:pPr>
            <w:r>
              <w:rPr>
                <w:rFonts w:ascii="Times New Roman" w:hAnsi="Times New Roman" w:cs="Times New Roman"/>
                <w:sz w:val="24"/>
                <w:szCs w:val="24"/>
              </w:rPr>
              <w:t>Dec</w:t>
            </w:r>
            <w:r w:rsidR="00D80CBA">
              <w:rPr>
                <w:rFonts w:ascii="Times New Roman" w:hAnsi="Times New Roman" w:cs="Times New Roman"/>
                <w:sz w:val="24"/>
                <w:szCs w:val="24"/>
              </w:rPr>
              <w:t>ember</w:t>
            </w:r>
            <w:r>
              <w:rPr>
                <w:rFonts w:ascii="Times New Roman" w:hAnsi="Times New Roman" w:cs="Times New Roman"/>
                <w:sz w:val="24"/>
                <w:szCs w:val="24"/>
              </w:rPr>
              <w:t xml:space="preserve"> 2022</w:t>
            </w:r>
          </w:p>
        </w:tc>
      </w:tr>
      <w:tr w:rsidR="003D2687" w:rsidRPr="00EF3776" w:rsidTr="00AA12A2">
        <w:tc>
          <w:tcPr>
            <w:tcW w:w="2547" w:type="dxa"/>
          </w:tcPr>
          <w:p w:rsidR="003D2687" w:rsidRPr="00EF3776" w:rsidRDefault="00785692" w:rsidP="002F4A00">
            <w:pPr>
              <w:spacing w:after="120"/>
              <w:jc w:val="both"/>
              <w:rPr>
                <w:rFonts w:ascii="Times New Roman" w:hAnsi="Times New Roman" w:cs="Times New Roman"/>
                <w:b/>
                <w:sz w:val="24"/>
                <w:szCs w:val="24"/>
              </w:rPr>
            </w:pPr>
            <w:r w:rsidRPr="00EF3776">
              <w:rPr>
                <w:rFonts w:ascii="Times New Roman" w:hAnsi="Times New Roman" w:cs="Times New Roman"/>
                <w:b/>
                <w:sz w:val="24"/>
                <w:szCs w:val="24"/>
              </w:rPr>
              <w:t>Exposure groups</w:t>
            </w:r>
          </w:p>
        </w:tc>
        <w:tc>
          <w:tcPr>
            <w:tcW w:w="6803" w:type="dxa"/>
          </w:tcPr>
          <w:p w:rsidR="00785692" w:rsidRPr="00EF3776" w:rsidRDefault="00C73F91" w:rsidP="002F4A00">
            <w:pPr>
              <w:spacing w:after="120"/>
              <w:jc w:val="both"/>
              <w:rPr>
                <w:rFonts w:ascii="Times New Roman" w:hAnsi="Times New Roman" w:cs="Times New Roman"/>
                <w:sz w:val="24"/>
                <w:szCs w:val="24"/>
              </w:rPr>
            </w:pPr>
            <w:r>
              <w:rPr>
                <w:rFonts w:ascii="Times New Roman" w:hAnsi="Times New Roman" w:cs="Times New Roman"/>
                <w:sz w:val="24"/>
                <w:szCs w:val="24"/>
              </w:rPr>
              <w:t>Biosimilar</w:t>
            </w:r>
            <w:r w:rsidR="00A607F7" w:rsidRPr="00EF3776">
              <w:rPr>
                <w:rFonts w:ascii="Times New Roman" w:hAnsi="Times New Roman" w:cs="Times New Roman"/>
                <w:sz w:val="24"/>
                <w:szCs w:val="24"/>
              </w:rPr>
              <w:t xml:space="preserve"> – exposed group</w:t>
            </w:r>
          </w:p>
          <w:p w:rsidR="003D2687" w:rsidRPr="00EF3776" w:rsidRDefault="00395C7C" w:rsidP="002F4A00">
            <w:pPr>
              <w:spacing w:after="120"/>
              <w:jc w:val="both"/>
              <w:rPr>
                <w:rFonts w:ascii="Times New Roman" w:hAnsi="Times New Roman" w:cs="Times New Roman"/>
                <w:sz w:val="24"/>
                <w:szCs w:val="24"/>
              </w:rPr>
            </w:pPr>
            <w:r>
              <w:rPr>
                <w:rFonts w:ascii="Times New Roman" w:hAnsi="Times New Roman" w:cs="Times New Roman"/>
                <w:sz w:val="24"/>
                <w:szCs w:val="24"/>
              </w:rPr>
              <w:t>Legacy drug</w:t>
            </w:r>
            <w:r w:rsidR="00785692" w:rsidRPr="00EF3776">
              <w:rPr>
                <w:rFonts w:ascii="Times New Roman" w:hAnsi="Times New Roman" w:cs="Times New Roman"/>
                <w:sz w:val="24"/>
                <w:szCs w:val="24"/>
              </w:rPr>
              <w:t xml:space="preserve"> </w:t>
            </w:r>
            <w:r w:rsidR="00A607F7" w:rsidRPr="00EF3776">
              <w:rPr>
                <w:rFonts w:ascii="Times New Roman" w:hAnsi="Times New Roman" w:cs="Times New Roman"/>
                <w:sz w:val="24"/>
                <w:szCs w:val="24"/>
              </w:rPr>
              <w:t>– reference group</w:t>
            </w:r>
          </w:p>
        </w:tc>
      </w:tr>
      <w:tr w:rsidR="006C1E17" w:rsidRPr="00EF3776" w:rsidTr="006C1E17">
        <w:tc>
          <w:tcPr>
            <w:tcW w:w="9350" w:type="dxa"/>
            <w:gridSpan w:val="2"/>
          </w:tcPr>
          <w:p w:rsidR="00D44EA1" w:rsidRPr="00BE1ABD" w:rsidRDefault="00D05B34" w:rsidP="002F4A0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Specific </w:t>
            </w:r>
            <w:r w:rsidR="006C1E17" w:rsidRPr="00EF3776">
              <w:rPr>
                <w:rFonts w:ascii="Times New Roman" w:hAnsi="Times New Roman" w:cs="Times New Roman"/>
                <w:b/>
                <w:sz w:val="24"/>
                <w:szCs w:val="24"/>
              </w:rPr>
              <w:t>Outcomes</w:t>
            </w:r>
            <w:r w:rsidR="00D44EA1">
              <w:rPr>
                <w:rFonts w:ascii="Times New Roman" w:hAnsi="Times New Roman" w:cs="Times New Roman"/>
                <w:b/>
                <w:sz w:val="24"/>
                <w:szCs w:val="24"/>
              </w:rPr>
              <w:t xml:space="preserve"> </w:t>
            </w:r>
          </w:p>
          <w:p w:rsidR="006C1E17" w:rsidRPr="00D44EA1" w:rsidRDefault="006C1E17"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 xml:space="preserve">1. </w:t>
            </w:r>
            <w:r w:rsidR="005F26D8" w:rsidRPr="00D44EA1">
              <w:rPr>
                <w:rFonts w:ascii="Times New Roman" w:hAnsi="Times New Roman" w:cs="Times New Roman"/>
                <w:sz w:val="24"/>
                <w:szCs w:val="24"/>
              </w:rPr>
              <w:t>D</w:t>
            </w:r>
            <w:r w:rsidRPr="00D44EA1">
              <w:rPr>
                <w:rFonts w:ascii="Times New Roman" w:hAnsi="Times New Roman" w:cs="Times New Roman"/>
                <w:sz w:val="24"/>
                <w:szCs w:val="24"/>
              </w:rPr>
              <w:t xml:space="preserve">iscontinuation </w:t>
            </w:r>
            <w:r w:rsidR="000677F3" w:rsidRPr="00D44EA1">
              <w:rPr>
                <w:rFonts w:ascii="Times New Roman" w:hAnsi="Times New Roman" w:cs="Times New Roman"/>
                <w:sz w:val="24"/>
                <w:szCs w:val="24"/>
              </w:rPr>
              <w:t xml:space="preserve">of initial therapy, </w:t>
            </w:r>
            <w:r w:rsidR="00BE1ABD" w:rsidRPr="00D44EA1">
              <w:rPr>
                <w:rFonts w:ascii="Times New Roman" w:hAnsi="Times New Roman" w:cs="Times New Roman"/>
                <w:sz w:val="24"/>
                <w:szCs w:val="24"/>
              </w:rPr>
              <w:t>measured as the number of patients who discontinued their initial treatment during the follow-up period.</w:t>
            </w:r>
          </w:p>
          <w:p w:rsidR="006C1E17" w:rsidRPr="00D44EA1" w:rsidRDefault="006C1E17"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2. Persistence</w:t>
            </w:r>
            <w:r w:rsidR="000677F3" w:rsidRPr="00D44EA1">
              <w:rPr>
                <w:rFonts w:ascii="Times New Roman" w:hAnsi="Times New Roman" w:cs="Times New Roman"/>
                <w:sz w:val="24"/>
                <w:szCs w:val="24"/>
              </w:rPr>
              <w:t xml:space="preserve"> on the initial therapy</w:t>
            </w:r>
            <w:r w:rsidRPr="00D44EA1">
              <w:rPr>
                <w:rFonts w:ascii="Times New Roman" w:hAnsi="Times New Roman" w:cs="Times New Roman"/>
                <w:sz w:val="24"/>
                <w:szCs w:val="24"/>
              </w:rPr>
              <w:t>, defined as the time in months from cohort entry until drug discontinuation/switching.</w:t>
            </w:r>
          </w:p>
          <w:p w:rsidR="006C1E17" w:rsidRPr="00D44EA1" w:rsidRDefault="006C1E17" w:rsidP="002F4A00">
            <w:pPr>
              <w:spacing w:after="120"/>
              <w:jc w:val="both"/>
              <w:rPr>
                <w:rFonts w:ascii="Times New Roman" w:hAnsi="Times New Roman" w:cs="Times New Roman"/>
                <w:sz w:val="24"/>
                <w:szCs w:val="24"/>
                <w:lang w:val="en-US"/>
              </w:rPr>
            </w:pPr>
            <w:r w:rsidRPr="00D44EA1">
              <w:rPr>
                <w:rFonts w:ascii="Times New Roman" w:hAnsi="Times New Roman" w:cs="Times New Roman"/>
                <w:sz w:val="24"/>
                <w:szCs w:val="24"/>
                <w:lang w:val="en-US"/>
              </w:rPr>
              <w:t xml:space="preserve">3. </w:t>
            </w:r>
            <w:r w:rsidR="00BE1ABD" w:rsidRPr="00D44EA1">
              <w:rPr>
                <w:rFonts w:ascii="Times New Roman" w:hAnsi="Times New Roman" w:cs="Times New Roman"/>
                <w:sz w:val="24"/>
                <w:szCs w:val="24"/>
                <w:lang w:val="en-US"/>
              </w:rPr>
              <w:t xml:space="preserve">Frequency of patients </w:t>
            </w:r>
            <w:r w:rsidR="00D3556D" w:rsidRPr="00D44EA1">
              <w:rPr>
                <w:rFonts w:ascii="Times New Roman" w:hAnsi="Times New Roman" w:cs="Times New Roman"/>
                <w:sz w:val="24"/>
                <w:szCs w:val="24"/>
                <w:lang w:val="en-US"/>
              </w:rPr>
              <w:t>starting</w:t>
            </w:r>
            <w:r w:rsidR="00BE1ABD" w:rsidRPr="00D44EA1">
              <w:rPr>
                <w:rFonts w:ascii="Times New Roman" w:hAnsi="Times New Roman" w:cs="Times New Roman"/>
                <w:sz w:val="24"/>
                <w:szCs w:val="24"/>
                <w:lang w:val="en-US"/>
              </w:rPr>
              <w:t xml:space="preserve"> or increasing</w:t>
            </w:r>
            <w:r w:rsidR="00BE1ABD" w:rsidRPr="00D44EA1">
              <w:rPr>
                <w:rFonts w:ascii="Times New Roman" w:hAnsi="Times New Roman" w:cs="Times New Roman"/>
                <w:sz w:val="24"/>
                <w:szCs w:val="24"/>
              </w:rPr>
              <w:t xml:space="preserve"> prednisone </w:t>
            </w:r>
            <w:r w:rsidR="000677F3" w:rsidRPr="00D44EA1">
              <w:rPr>
                <w:rFonts w:ascii="Times New Roman" w:hAnsi="Times New Roman" w:cs="Times New Roman"/>
                <w:sz w:val="24"/>
                <w:szCs w:val="24"/>
              </w:rPr>
              <w:t>or other immunosuppressive drug.</w:t>
            </w:r>
          </w:p>
          <w:p w:rsidR="00274C28" w:rsidRPr="00D44EA1" w:rsidRDefault="006C1E17"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 xml:space="preserve">4. </w:t>
            </w:r>
            <w:r w:rsidR="000677F3" w:rsidRPr="00D44EA1">
              <w:rPr>
                <w:rFonts w:ascii="Times New Roman" w:hAnsi="Times New Roman" w:cs="Times New Roman"/>
                <w:sz w:val="24"/>
                <w:szCs w:val="24"/>
              </w:rPr>
              <w:t>Frequency</w:t>
            </w:r>
            <w:r w:rsidR="004300F7" w:rsidRPr="00D44EA1">
              <w:rPr>
                <w:rFonts w:ascii="Times New Roman" w:hAnsi="Times New Roman" w:cs="Times New Roman"/>
                <w:sz w:val="24"/>
                <w:szCs w:val="24"/>
              </w:rPr>
              <w:t xml:space="preserve"> of </w:t>
            </w:r>
            <w:r w:rsidR="00274C28" w:rsidRPr="00D44EA1">
              <w:rPr>
                <w:rFonts w:ascii="Times New Roman" w:hAnsi="Times New Roman" w:cs="Times New Roman"/>
                <w:sz w:val="24"/>
                <w:szCs w:val="24"/>
              </w:rPr>
              <w:t xml:space="preserve">treatment failure, measured as the proportion of </w:t>
            </w:r>
            <w:r w:rsidR="00C73F91">
              <w:rPr>
                <w:rFonts w:ascii="Times New Roman" w:hAnsi="Times New Roman" w:cs="Times New Roman"/>
                <w:sz w:val="24"/>
                <w:szCs w:val="24"/>
              </w:rPr>
              <w:t xml:space="preserve">biosimilar </w:t>
            </w:r>
            <w:r w:rsidR="000677F3" w:rsidRPr="00D44EA1">
              <w:rPr>
                <w:rFonts w:ascii="Times New Roman" w:hAnsi="Times New Roman" w:cs="Times New Roman"/>
                <w:sz w:val="24"/>
                <w:szCs w:val="24"/>
              </w:rPr>
              <w:t xml:space="preserve">or </w:t>
            </w:r>
            <w:r w:rsidR="00395C7C">
              <w:rPr>
                <w:rFonts w:ascii="Times New Roman" w:hAnsi="Times New Roman" w:cs="Times New Roman"/>
                <w:sz w:val="24"/>
                <w:szCs w:val="24"/>
              </w:rPr>
              <w:t xml:space="preserve">legacy drug </w:t>
            </w:r>
            <w:r w:rsidR="00274C28" w:rsidRPr="00D44EA1">
              <w:rPr>
                <w:rFonts w:ascii="Times New Roman" w:hAnsi="Times New Roman" w:cs="Times New Roman"/>
                <w:sz w:val="24"/>
                <w:szCs w:val="24"/>
              </w:rPr>
              <w:t>patient</w:t>
            </w:r>
            <w:r w:rsidR="00D44EA1" w:rsidRPr="00D44EA1">
              <w:rPr>
                <w:rFonts w:ascii="Times New Roman" w:hAnsi="Times New Roman" w:cs="Times New Roman"/>
                <w:sz w:val="24"/>
                <w:szCs w:val="24"/>
              </w:rPr>
              <w:t>s who discontinue</w:t>
            </w:r>
            <w:r w:rsidR="00274C28" w:rsidRPr="00D44EA1">
              <w:rPr>
                <w:rFonts w:ascii="Times New Roman" w:hAnsi="Times New Roman" w:cs="Times New Roman"/>
                <w:sz w:val="24"/>
                <w:szCs w:val="24"/>
              </w:rPr>
              <w:t xml:space="preserve"> treatment due to ineffectiveness</w:t>
            </w:r>
            <w:r w:rsidR="00A21614" w:rsidRPr="00D44EA1">
              <w:rPr>
                <w:rFonts w:ascii="Times New Roman" w:hAnsi="Times New Roman" w:cs="Times New Roman"/>
                <w:sz w:val="24"/>
                <w:szCs w:val="24"/>
              </w:rPr>
              <w:t xml:space="preserve"> during follow-up</w:t>
            </w:r>
            <w:r w:rsidR="00274C28" w:rsidRPr="00D44EA1">
              <w:rPr>
                <w:rFonts w:ascii="Times New Roman" w:hAnsi="Times New Roman" w:cs="Times New Roman"/>
                <w:sz w:val="24"/>
                <w:szCs w:val="24"/>
              </w:rPr>
              <w:t>.</w:t>
            </w:r>
          </w:p>
          <w:p w:rsidR="006C1E17" w:rsidRPr="00D44EA1" w:rsidRDefault="00274C28"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 xml:space="preserve">5. </w:t>
            </w:r>
            <w:r w:rsidR="00867EB1" w:rsidRPr="00D44EA1">
              <w:rPr>
                <w:rFonts w:ascii="Times New Roman" w:hAnsi="Times New Roman" w:cs="Times New Roman"/>
                <w:sz w:val="24"/>
                <w:szCs w:val="24"/>
              </w:rPr>
              <w:t>T</w:t>
            </w:r>
            <w:r w:rsidR="006C1E17" w:rsidRPr="00D44EA1">
              <w:rPr>
                <w:rFonts w:ascii="Times New Roman" w:hAnsi="Times New Roman" w:cs="Times New Roman"/>
                <w:sz w:val="24"/>
                <w:szCs w:val="24"/>
              </w:rPr>
              <w:t xml:space="preserve">ime to treatment failure, measured in months from </w:t>
            </w:r>
            <w:r w:rsidR="00D44EA1" w:rsidRPr="00D44EA1">
              <w:rPr>
                <w:rFonts w:ascii="Times New Roman" w:hAnsi="Times New Roman" w:cs="Times New Roman"/>
                <w:sz w:val="24"/>
                <w:szCs w:val="24"/>
              </w:rPr>
              <w:t xml:space="preserve">drug initiation </w:t>
            </w:r>
            <w:r w:rsidR="00667657" w:rsidRPr="00D44EA1">
              <w:rPr>
                <w:rFonts w:ascii="Times New Roman" w:hAnsi="Times New Roman" w:cs="Times New Roman"/>
                <w:sz w:val="24"/>
                <w:szCs w:val="24"/>
              </w:rPr>
              <w:t>un</w:t>
            </w:r>
            <w:r w:rsidR="006C1E17" w:rsidRPr="00D44EA1">
              <w:rPr>
                <w:rFonts w:ascii="Times New Roman" w:hAnsi="Times New Roman" w:cs="Times New Roman"/>
                <w:sz w:val="24"/>
                <w:szCs w:val="24"/>
              </w:rPr>
              <w:t xml:space="preserve">til </w:t>
            </w:r>
            <w:r w:rsidRPr="00D44EA1">
              <w:rPr>
                <w:rFonts w:ascii="Times New Roman" w:hAnsi="Times New Roman" w:cs="Times New Roman"/>
                <w:sz w:val="24"/>
                <w:szCs w:val="24"/>
              </w:rPr>
              <w:t>treatment failure</w:t>
            </w:r>
            <w:r w:rsidR="007668E0" w:rsidRPr="00D44EA1">
              <w:rPr>
                <w:rFonts w:ascii="Times New Roman" w:hAnsi="Times New Roman" w:cs="Times New Roman"/>
                <w:sz w:val="24"/>
                <w:szCs w:val="24"/>
              </w:rPr>
              <w:t>.</w:t>
            </w:r>
            <w:r w:rsidR="006C1E17" w:rsidRPr="00D44EA1">
              <w:rPr>
                <w:rFonts w:ascii="Times New Roman" w:hAnsi="Times New Roman" w:cs="Times New Roman"/>
                <w:sz w:val="24"/>
                <w:szCs w:val="24"/>
              </w:rPr>
              <w:t xml:space="preserve">  </w:t>
            </w:r>
          </w:p>
          <w:p w:rsidR="006C1E17" w:rsidRPr="00D44EA1" w:rsidRDefault="00274C28"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6</w:t>
            </w:r>
            <w:r w:rsidR="006C1E17" w:rsidRPr="00D44EA1">
              <w:rPr>
                <w:rFonts w:ascii="Times New Roman" w:hAnsi="Times New Roman" w:cs="Times New Roman"/>
                <w:sz w:val="24"/>
                <w:szCs w:val="24"/>
              </w:rPr>
              <w:t xml:space="preserve">. </w:t>
            </w:r>
            <w:r w:rsidR="006C1E17" w:rsidRPr="00987DD3">
              <w:rPr>
                <w:rFonts w:ascii="Times New Roman" w:hAnsi="Times New Roman" w:cs="Times New Roman"/>
                <w:sz w:val="24"/>
                <w:szCs w:val="24"/>
              </w:rPr>
              <w:t>Frequency of clinical remission</w:t>
            </w:r>
            <w:r w:rsidR="007668E0" w:rsidRPr="00987DD3">
              <w:rPr>
                <w:rFonts w:ascii="Times New Roman" w:hAnsi="Times New Roman" w:cs="Times New Roman"/>
                <w:sz w:val="24"/>
                <w:szCs w:val="24"/>
              </w:rPr>
              <w:t>,</w:t>
            </w:r>
            <w:r w:rsidR="006C1E17" w:rsidRPr="00987DD3">
              <w:rPr>
                <w:rFonts w:ascii="Times New Roman" w:hAnsi="Times New Roman" w:cs="Times New Roman"/>
                <w:sz w:val="24"/>
                <w:szCs w:val="24"/>
              </w:rPr>
              <w:t xml:space="preserve"> measured by disease-specific measures including for RA, the </w:t>
            </w:r>
            <w:r w:rsidR="00952D5C">
              <w:rPr>
                <w:rFonts w:ascii="Times New Roman" w:hAnsi="Times New Roman" w:cs="Times New Roman"/>
                <w:sz w:val="24"/>
                <w:szCs w:val="24"/>
              </w:rPr>
              <w:t xml:space="preserve">Disease Activity Score (DAS28), and Simple Disease Activity Index (SDAI); the Spondylitis Disease Activity Score (ASDAS), the Assessment in </w:t>
            </w:r>
            <w:proofErr w:type="spellStart"/>
            <w:r w:rsidR="00952D5C">
              <w:rPr>
                <w:rFonts w:ascii="Times New Roman" w:hAnsi="Times New Roman" w:cs="Times New Roman"/>
                <w:sz w:val="24"/>
                <w:szCs w:val="24"/>
              </w:rPr>
              <w:t>SpondyloArthritis</w:t>
            </w:r>
            <w:proofErr w:type="spellEnd"/>
            <w:r w:rsidR="00952D5C">
              <w:rPr>
                <w:rFonts w:ascii="Times New Roman" w:hAnsi="Times New Roman" w:cs="Times New Roman"/>
                <w:sz w:val="24"/>
                <w:szCs w:val="24"/>
              </w:rPr>
              <w:t xml:space="preserve"> International Society (ASAS) response criteria, Bath Ankylosing Spondylitis Functional Index (BASFI)</w:t>
            </w:r>
            <w:r w:rsidR="00F96476">
              <w:rPr>
                <w:rFonts w:ascii="Times New Roman" w:hAnsi="Times New Roman" w:cs="Times New Roman"/>
                <w:sz w:val="24"/>
                <w:szCs w:val="24"/>
              </w:rPr>
              <w:t xml:space="preserve">, </w:t>
            </w:r>
            <w:r w:rsidR="00F96476" w:rsidRPr="00EF3776">
              <w:rPr>
                <w:rFonts w:ascii="Times New Roman" w:hAnsi="Times New Roman" w:cs="Times New Roman"/>
                <w:sz w:val="24"/>
                <w:szCs w:val="24"/>
              </w:rPr>
              <w:t>Stoke Ankylosing Spondylitis Spine Score</w:t>
            </w:r>
            <w:r w:rsidR="00F96476">
              <w:rPr>
                <w:rFonts w:ascii="Times New Roman" w:hAnsi="Times New Roman" w:cs="Times New Roman"/>
                <w:sz w:val="24"/>
                <w:szCs w:val="24"/>
              </w:rPr>
              <w:t xml:space="preserve"> (</w:t>
            </w:r>
            <w:proofErr w:type="spellStart"/>
            <w:r w:rsidR="00F96476">
              <w:rPr>
                <w:rFonts w:ascii="Times New Roman" w:hAnsi="Times New Roman" w:cs="Times New Roman"/>
                <w:sz w:val="24"/>
                <w:szCs w:val="24"/>
              </w:rPr>
              <w:t>mSASSS</w:t>
            </w:r>
            <w:proofErr w:type="spellEnd"/>
            <w:r w:rsidR="00F96476">
              <w:rPr>
                <w:rFonts w:ascii="Times New Roman" w:hAnsi="Times New Roman" w:cs="Times New Roman"/>
                <w:sz w:val="24"/>
                <w:szCs w:val="24"/>
              </w:rPr>
              <w:t>)</w:t>
            </w:r>
            <w:r w:rsidR="00952D5C">
              <w:rPr>
                <w:rFonts w:ascii="Times New Roman" w:hAnsi="Times New Roman" w:cs="Times New Roman"/>
                <w:sz w:val="24"/>
                <w:szCs w:val="24"/>
              </w:rPr>
              <w:t xml:space="preserve"> and Bath Ankylosing Spondylitis Disease Activity Index (BASDAI) in AS; Crohn’s Disease Activity Index (CDAI), Harvey-Bradshaw Index (HBI) for CD and </w:t>
            </w:r>
            <w:r w:rsidR="00F82DCB">
              <w:rPr>
                <w:rFonts w:ascii="Times New Roman" w:hAnsi="Times New Roman" w:cs="Times New Roman"/>
                <w:sz w:val="24"/>
                <w:szCs w:val="24"/>
              </w:rPr>
              <w:t xml:space="preserve">Mayo or </w:t>
            </w:r>
            <w:r w:rsidR="00952D5C">
              <w:rPr>
                <w:rFonts w:ascii="Times New Roman" w:hAnsi="Times New Roman" w:cs="Times New Roman"/>
                <w:sz w:val="24"/>
                <w:szCs w:val="24"/>
              </w:rPr>
              <w:t xml:space="preserve">Partial Mayo </w:t>
            </w:r>
            <w:r w:rsidR="0027618F" w:rsidRPr="00987DD3">
              <w:rPr>
                <w:rFonts w:ascii="Times New Roman" w:hAnsi="Times New Roman" w:cs="Times New Roman"/>
                <w:sz w:val="24"/>
                <w:szCs w:val="24"/>
              </w:rPr>
              <w:t>Score (PMS)</w:t>
            </w:r>
            <w:r w:rsidR="006C1E17" w:rsidRPr="00987DD3">
              <w:rPr>
                <w:rFonts w:ascii="Times New Roman" w:hAnsi="Times New Roman" w:cs="Times New Roman"/>
                <w:sz w:val="24"/>
                <w:szCs w:val="24"/>
              </w:rPr>
              <w:t xml:space="preserve"> for UC.</w:t>
            </w:r>
          </w:p>
          <w:p w:rsidR="00A21614" w:rsidRPr="00D44EA1" w:rsidRDefault="00A21614"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 xml:space="preserve">7. </w:t>
            </w:r>
            <w:r w:rsidR="00D44EA1">
              <w:rPr>
                <w:rFonts w:ascii="Times New Roman" w:hAnsi="Times New Roman" w:cs="Times New Roman"/>
                <w:sz w:val="24"/>
                <w:szCs w:val="24"/>
              </w:rPr>
              <w:t>S</w:t>
            </w:r>
            <w:r w:rsidRPr="00D44EA1">
              <w:rPr>
                <w:rFonts w:ascii="Times New Roman" w:hAnsi="Times New Roman" w:cs="Times New Roman"/>
                <w:sz w:val="24"/>
                <w:szCs w:val="24"/>
              </w:rPr>
              <w:t xml:space="preserve">erious adverse events (SAEs), measured as the proportion of patients in each group presenting </w:t>
            </w:r>
            <w:r w:rsidR="00FB6AE5">
              <w:rPr>
                <w:rFonts w:ascii="Times New Roman" w:hAnsi="Times New Roman" w:cs="Times New Roman"/>
                <w:sz w:val="24"/>
                <w:szCs w:val="24"/>
              </w:rPr>
              <w:t xml:space="preserve">with </w:t>
            </w:r>
            <w:r w:rsidR="00BC419E" w:rsidRPr="00D44EA1">
              <w:rPr>
                <w:rFonts w:ascii="Times New Roman" w:hAnsi="Times New Roman" w:cs="Times New Roman"/>
                <w:sz w:val="24"/>
                <w:szCs w:val="24"/>
              </w:rPr>
              <w:t>an AE that is fatal or life-threatening, requiring or extending a patient’s hospitalization, resulting in persistent or significant disability or incapacity, inducing a congenital anomaly or birth defect, or otherwise be considered important by the physician.</w:t>
            </w:r>
          </w:p>
          <w:p w:rsidR="006C1E17" w:rsidRPr="00D44EA1" w:rsidRDefault="006C1E17" w:rsidP="002F4A00">
            <w:pPr>
              <w:spacing w:after="120"/>
              <w:jc w:val="both"/>
              <w:rPr>
                <w:rFonts w:ascii="Times New Roman" w:hAnsi="Times New Roman" w:cs="Times New Roman"/>
                <w:sz w:val="24"/>
                <w:szCs w:val="24"/>
              </w:rPr>
            </w:pPr>
            <w:r w:rsidRPr="00D44EA1">
              <w:rPr>
                <w:rFonts w:ascii="Times New Roman" w:hAnsi="Times New Roman" w:cs="Times New Roman"/>
                <w:sz w:val="24"/>
                <w:szCs w:val="24"/>
              </w:rPr>
              <w:t xml:space="preserve">8. Long-term outcomes: </w:t>
            </w:r>
            <w:r w:rsidR="007668E0" w:rsidRPr="00D44EA1">
              <w:rPr>
                <w:rFonts w:ascii="Times New Roman" w:hAnsi="Times New Roman" w:cs="Times New Roman"/>
                <w:sz w:val="24"/>
                <w:szCs w:val="24"/>
              </w:rPr>
              <w:t>frequency of sustained remission, p</w:t>
            </w:r>
            <w:r w:rsidR="008D177E" w:rsidRPr="00D44EA1">
              <w:rPr>
                <w:rFonts w:ascii="Times New Roman" w:hAnsi="Times New Roman" w:cs="Times New Roman"/>
                <w:sz w:val="24"/>
                <w:szCs w:val="24"/>
              </w:rPr>
              <w:t xml:space="preserve">resence of erosions in RA and radiographic progression in AS, and </w:t>
            </w:r>
            <w:r w:rsidR="00BD2CEC">
              <w:rPr>
                <w:rFonts w:ascii="Times New Roman" w:hAnsi="Times New Roman" w:cs="Times New Roman"/>
                <w:sz w:val="24"/>
                <w:szCs w:val="24"/>
              </w:rPr>
              <w:t>i</w:t>
            </w:r>
            <w:r w:rsidR="00BD2CEC" w:rsidRPr="0030423A">
              <w:rPr>
                <w:rFonts w:ascii="Times New Roman" w:hAnsi="Times New Roman" w:cs="Times New Roman"/>
                <w:sz w:val="24"/>
                <w:szCs w:val="24"/>
              </w:rPr>
              <w:t>mprovement or normalization of C-reactive protein and fecal calprotectin</w:t>
            </w:r>
            <w:r w:rsidR="00D80CBA">
              <w:rPr>
                <w:rFonts w:ascii="Times New Roman" w:hAnsi="Times New Roman" w:cs="Times New Roman"/>
                <w:sz w:val="24"/>
                <w:szCs w:val="24"/>
              </w:rPr>
              <w:t>.</w:t>
            </w:r>
          </w:p>
          <w:p w:rsidR="006C1E17" w:rsidRPr="00EF3776" w:rsidRDefault="006C1E17" w:rsidP="00460772">
            <w:pPr>
              <w:spacing w:after="120"/>
              <w:jc w:val="both"/>
              <w:rPr>
                <w:rFonts w:ascii="Times New Roman" w:hAnsi="Times New Roman" w:cs="Times New Roman"/>
                <w:sz w:val="24"/>
                <w:szCs w:val="24"/>
              </w:rPr>
            </w:pPr>
            <w:r w:rsidRPr="00D44EA1">
              <w:rPr>
                <w:rFonts w:ascii="Times New Roman" w:hAnsi="Times New Roman" w:cs="Times New Roman"/>
                <w:sz w:val="24"/>
                <w:szCs w:val="24"/>
              </w:rPr>
              <w:t xml:space="preserve">9. </w:t>
            </w:r>
            <w:r w:rsidRPr="00987DD3">
              <w:rPr>
                <w:rFonts w:ascii="Times New Roman" w:hAnsi="Times New Roman" w:cs="Times New Roman"/>
                <w:sz w:val="24"/>
                <w:szCs w:val="24"/>
              </w:rPr>
              <w:t xml:space="preserve">Patient-reported </w:t>
            </w:r>
            <w:r w:rsidR="00CD0A9A" w:rsidRPr="00987DD3">
              <w:rPr>
                <w:rFonts w:ascii="Times New Roman" w:hAnsi="Times New Roman" w:cs="Times New Roman"/>
                <w:sz w:val="24"/>
                <w:szCs w:val="24"/>
              </w:rPr>
              <w:t xml:space="preserve">change over time in the </w:t>
            </w:r>
            <w:r w:rsidR="00C9508C" w:rsidRPr="00987DD3">
              <w:rPr>
                <w:rFonts w:ascii="Times New Roman" w:hAnsi="Times New Roman" w:cs="Times New Roman"/>
                <w:sz w:val="24"/>
                <w:szCs w:val="24"/>
              </w:rPr>
              <w:t xml:space="preserve">EuroQol-5D (EQ-5D), </w:t>
            </w:r>
            <w:r w:rsidR="009E2EEA" w:rsidRPr="00987DD3">
              <w:rPr>
                <w:rFonts w:ascii="Times New Roman" w:hAnsi="Times New Roman" w:cs="Times New Roman"/>
                <w:sz w:val="24"/>
                <w:szCs w:val="24"/>
              </w:rPr>
              <w:t xml:space="preserve">the </w:t>
            </w:r>
            <w:r w:rsidR="0027618F" w:rsidRPr="00987DD3">
              <w:rPr>
                <w:rFonts w:ascii="Times New Roman" w:hAnsi="Times New Roman" w:cs="Times New Roman"/>
                <w:sz w:val="24"/>
                <w:szCs w:val="24"/>
              </w:rPr>
              <w:t>Health Assessment Questionnaire Disability Index (HAQ-DI)</w:t>
            </w:r>
            <w:r w:rsidR="00081479" w:rsidRPr="00987DD3">
              <w:rPr>
                <w:rFonts w:ascii="Times New Roman" w:hAnsi="Times New Roman" w:cs="Times New Roman"/>
                <w:sz w:val="24"/>
                <w:szCs w:val="24"/>
              </w:rPr>
              <w:t xml:space="preserve">, </w:t>
            </w:r>
            <w:r w:rsidR="0027618F" w:rsidRPr="00987DD3">
              <w:rPr>
                <w:rFonts w:ascii="Times New Roman" w:hAnsi="Times New Roman" w:cs="Times New Roman"/>
                <w:sz w:val="24"/>
                <w:szCs w:val="24"/>
              </w:rPr>
              <w:t>the Short Inflammatory Bowel Disease Questionnaire (SIBDQ)</w:t>
            </w:r>
            <w:r w:rsidR="00952D5C">
              <w:rPr>
                <w:rFonts w:ascii="Times New Roman" w:hAnsi="Times New Roman" w:cs="Times New Roman"/>
                <w:sz w:val="24"/>
                <w:szCs w:val="24"/>
              </w:rPr>
              <w:t xml:space="preserve">, Visual Analogue Scale (VAS) and the </w:t>
            </w:r>
            <w:r w:rsidR="00952D5C">
              <w:rPr>
                <w:rFonts w:ascii="Times New Roman" w:hAnsi="Times New Roman" w:cs="Times New Roman"/>
                <w:color w:val="000000" w:themeColor="text1"/>
                <w:sz w:val="24"/>
                <w:szCs w:val="24"/>
                <w:shd w:val="clear" w:color="auto" w:fill="FFFFFF"/>
              </w:rPr>
              <w:t>veterans RAND 12 (VR-12)</w:t>
            </w:r>
            <w:r w:rsidR="00952D5C">
              <w:rPr>
                <w:rFonts w:ascii="Times New Roman" w:hAnsi="Times New Roman" w:cs="Times New Roman"/>
                <w:sz w:val="24"/>
                <w:szCs w:val="24"/>
              </w:rPr>
              <w:t>.</w:t>
            </w:r>
          </w:p>
        </w:tc>
      </w:tr>
    </w:tbl>
    <w:p w:rsidR="00AA12A2" w:rsidRPr="00EF3776" w:rsidRDefault="00AA12A2" w:rsidP="002F4A00">
      <w:pPr>
        <w:spacing w:after="120" w:line="240" w:lineRule="auto"/>
        <w:jc w:val="both"/>
        <w:rPr>
          <w:rFonts w:ascii="Times New Roman" w:hAnsi="Times New Roman" w:cs="Times New Roman"/>
          <w:b/>
          <w:sz w:val="24"/>
          <w:szCs w:val="24"/>
        </w:rPr>
      </w:pPr>
    </w:p>
    <w:p w:rsidR="0072183D" w:rsidRPr="00EF3776" w:rsidRDefault="0072183D"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List of abbreviations and definitions of terms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7012"/>
      </w:tblGrid>
      <w:tr w:rsidR="00DC1339" w:rsidRPr="00EF3776" w:rsidTr="003C1FEA">
        <w:tc>
          <w:tcPr>
            <w:tcW w:w="2456" w:type="dxa"/>
            <w:tcBorders>
              <w:top w:val="single" w:sz="4" w:space="0" w:color="auto"/>
              <w:bottom w:val="single" w:sz="4" w:space="0" w:color="auto"/>
            </w:tcBorders>
          </w:tcPr>
          <w:p w:rsidR="00DC1339" w:rsidRPr="00EF3776" w:rsidRDefault="00FD329D" w:rsidP="002F4A00">
            <w:pPr>
              <w:spacing w:after="120"/>
              <w:jc w:val="both"/>
              <w:rPr>
                <w:rFonts w:ascii="Times New Roman" w:hAnsi="Times New Roman" w:cs="Times New Roman"/>
                <w:sz w:val="24"/>
                <w:szCs w:val="24"/>
              </w:rPr>
            </w:pPr>
            <w:r>
              <w:rPr>
                <w:rFonts w:ascii="Times New Roman" w:hAnsi="Times New Roman" w:cs="Times New Roman"/>
                <w:sz w:val="24"/>
                <w:szCs w:val="24"/>
              </w:rPr>
              <w:t>Abbreviation/Acronym</w:t>
            </w:r>
          </w:p>
        </w:tc>
        <w:tc>
          <w:tcPr>
            <w:tcW w:w="7012" w:type="dxa"/>
            <w:tcBorders>
              <w:top w:val="single" w:sz="4" w:space="0" w:color="auto"/>
              <w:bottom w:val="single" w:sz="4" w:space="0" w:color="auto"/>
            </w:tcBorders>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Definition</w:t>
            </w:r>
          </w:p>
        </w:tc>
      </w:tr>
      <w:tr w:rsidR="00DC1339" w:rsidRPr="00EF3776" w:rsidTr="003C1FEA">
        <w:tc>
          <w:tcPr>
            <w:tcW w:w="2456" w:type="dxa"/>
            <w:tcBorders>
              <w:top w:val="single" w:sz="4" w:space="0" w:color="auto"/>
            </w:tcBorders>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AE</w:t>
            </w:r>
          </w:p>
        </w:tc>
        <w:tc>
          <w:tcPr>
            <w:tcW w:w="7012" w:type="dxa"/>
            <w:tcBorders>
              <w:top w:val="single" w:sz="4" w:space="0" w:color="auto"/>
            </w:tcBorders>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Adverse event</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AS</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Ankylosing spondylitis</w:t>
            </w:r>
          </w:p>
        </w:tc>
      </w:tr>
      <w:tr w:rsidR="00640732" w:rsidRPr="00EF3776" w:rsidTr="003C1FEA">
        <w:tc>
          <w:tcPr>
            <w:tcW w:w="2456" w:type="dxa"/>
          </w:tcPr>
          <w:p w:rsidR="00640732" w:rsidRPr="00EF3776" w:rsidRDefault="00640732"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ASAS</w:t>
            </w:r>
          </w:p>
        </w:tc>
        <w:tc>
          <w:tcPr>
            <w:tcW w:w="7012" w:type="dxa"/>
          </w:tcPr>
          <w:p w:rsidR="00640732" w:rsidRPr="00EF3776" w:rsidRDefault="00640732"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 xml:space="preserve">Assessment in </w:t>
            </w:r>
            <w:proofErr w:type="spellStart"/>
            <w:r w:rsidRPr="00EF3776">
              <w:rPr>
                <w:rFonts w:ascii="Times New Roman" w:hAnsi="Times New Roman" w:cs="Times New Roman"/>
                <w:sz w:val="24"/>
                <w:szCs w:val="24"/>
              </w:rPr>
              <w:t>SpondyloArthritis</w:t>
            </w:r>
            <w:proofErr w:type="spellEnd"/>
            <w:r w:rsidRPr="00EF3776">
              <w:rPr>
                <w:rFonts w:ascii="Times New Roman" w:hAnsi="Times New Roman" w:cs="Times New Roman"/>
                <w:sz w:val="24"/>
                <w:szCs w:val="24"/>
              </w:rPr>
              <w:t xml:space="preserve"> International Society</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lastRenderedPageBreak/>
              <w:t>ASDAS</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Spondylitis Disease Activity Score</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BASDAI</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Bath Ankylosing Spondylitis Disease Activity Index</w:t>
            </w:r>
          </w:p>
        </w:tc>
      </w:tr>
      <w:tr w:rsidR="00E42E22" w:rsidRPr="00EF3776" w:rsidTr="003C1FEA">
        <w:tc>
          <w:tcPr>
            <w:tcW w:w="2456" w:type="dxa"/>
          </w:tcPr>
          <w:p w:rsidR="00E42E22" w:rsidRPr="00EF3776" w:rsidRDefault="00E42E22" w:rsidP="002F4A00">
            <w:pPr>
              <w:spacing w:after="120"/>
              <w:jc w:val="both"/>
              <w:rPr>
                <w:rFonts w:ascii="Times New Roman" w:hAnsi="Times New Roman" w:cs="Times New Roman"/>
                <w:sz w:val="24"/>
                <w:szCs w:val="24"/>
              </w:rPr>
            </w:pPr>
            <w:r>
              <w:rPr>
                <w:rFonts w:ascii="Times New Roman" w:hAnsi="Times New Roman" w:cs="Times New Roman"/>
                <w:sz w:val="24"/>
                <w:szCs w:val="24"/>
              </w:rPr>
              <w:t>BASFI</w:t>
            </w:r>
          </w:p>
        </w:tc>
        <w:tc>
          <w:tcPr>
            <w:tcW w:w="7012" w:type="dxa"/>
          </w:tcPr>
          <w:p w:rsidR="00E42E22" w:rsidRPr="00EF3776" w:rsidRDefault="00E42E22" w:rsidP="002F4A00">
            <w:pPr>
              <w:tabs>
                <w:tab w:val="left" w:pos="1027"/>
              </w:tabs>
              <w:spacing w:after="120"/>
              <w:jc w:val="both"/>
              <w:rPr>
                <w:rFonts w:ascii="Times New Roman" w:hAnsi="Times New Roman" w:cs="Times New Roman"/>
                <w:sz w:val="24"/>
                <w:szCs w:val="24"/>
              </w:rPr>
            </w:pPr>
            <w:r w:rsidRPr="00E42E22">
              <w:rPr>
                <w:rFonts w:ascii="Times New Roman" w:hAnsi="Times New Roman" w:cs="Times New Roman"/>
                <w:sz w:val="24"/>
                <w:szCs w:val="24"/>
              </w:rPr>
              <w:t>Bath Ankylosing Spondylitis Functional Index</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BMI</w:t>
            </w:r>
          </w:p>
        </w:tc>
        <w:tc>
          <w:tcPr>
            <w:tcW w:w="7012" w:type="dxa"/>
          </w:tcPr>
          <w:p w:rsidR="00DC1339" w:rsidRPr="00EF3776" w:rsidRDefault="00DC1339" w:rsidP="002F4A00">
            <w:pPr>
              <w:tabs>
                <w:tab w:val="left" w:pos="1027"/>
              </w:tabs>
              <w:spacing w:after="120"/>
              <w:jc w:val="both"/>
              <w:rPr>
                <w:rFonts w:ascii="Times New Roman" w:hAnsi="Times New Roman" w:cs="Times New Roman"/>
                <w:sz w:val="24"/>
                <w:szCs w:val="24"/>
              </w:rPr>
            </w:pPr>
            <w:r w:rsidRPr="00EF3776">
              <w:rPr>
                <w:rFonts w:ascii="Times New Roman" w:hAnsi="Times New Roman" w:cs="Times New Roman"/>
                <w:sz w:val="24"/>
                <w:szCs w:val="24"/>
              </w:rPr>
              <w:t>Body Mass Index</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CAN-AIM</w:t>
            </w:r>
          </w:p>
        </w:tc>
        <w:tc>
          <w:tcPr>
            <w:tcW w:w="7012" w:type="dxa"/>
          </w:tcPr>
          <w:p w:rsidR="00DC1339" w:rsidRPr="00EF3776" w:rsidRDefault="00DC1339" w:rsidP="002F4A00">
            <w:pPr>
              <w:spacing w:after="120"/>
              <w:jc w:val="both"/>
              <w:rPr>
                <w:rFonts w:ascii="Times New Roman" w:hAnsi="Times New Roman" w:cs="Times New Roman"/>
                <w:sz w:val="24"/>
                <w:szCs w:val="24"/>
              </w:rPr>
            </w:pPr>
            <w:proofErr w:type="spellStart"/>
            <w:r w:rsidRPr="00EF3776">
              <w:rPr>
                <w:rFonts w:ascii="Times New Roman" w:hAnsi="Times New Roman" w:cs="Times New Roman"/>
                <w:sz w:val="24"/>
                <w:szCs w:val="24"/>
              </w:rPr>
              <w:t>CAnadian</w:t>
            </w:r>
            <w:proofErr w:type="spellEnd"/>
            <w:r w:rsidRPr="00EF3776">
              <w:rPr>
                <w:rFonts w:ascii="Times New Roman" w:hAnsi="Times New Roman" w:cs="Times New Roman"/>
                <w:sz w:val="24"/>
                <w:szCs w:val="24"/>
              </w:rPr>
              <w:t xml:space="preserve"> Network for Advanced Interdisciplinary Methods for comparative effectiveness research</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CD</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Crohn's disease</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CDAI</w:t>
            </w:r>
          </w:p>
        </w:tc>
        <w:tc>
          <w:tcPr>
            <w:tcW w:w="7012" w:type="dxa"/>
          </w:tcPr>
          <w:p w:rsidR="00DC1339" w:rsidRPr="00EF3776" w:rsidRDefault="00D133CC" w:rsidP="002F4A00">
            <w:pPr>
              <w:spacing w:after="120"/>
              <w:jc w:val="both"/>
              <w:rPr>
                <w:rFonts w:ascii="Times New Roman" w:hAnsi="Times New Roman" w:cs="Times New Roman"/>
                <w:sz w:val="24"/>
                <w:szCs w:val="24"/>
              </w:rPr>
            </w:pPr>
            <w:r w:rsidRPr="00D133CC">
              <w:rPr>
                <w:rFonts w:ascii="Times New Roman" w:hAnsi="Times New Roman" w:cs="Times New Roman"/>
                <w:sz w:val="24"/>
                <w:szCs w:val="24"/>
              </w:rPr>
              <w:t>Crohn’s Disease Activity</w:t>
            </w:r>
            <w:r>
              <w:rPr>
                <w:rFonts w:ascii="Times New Roman" w:hAnsi="Times New Roman" w:cs="Times New Roman"/>
                <w:sz w:val="24"/>
                <w:szCs w:val="24"/>
              </w:rPr>
              <w:t xml:space="preserve"> </w:t>
            </w:r>
            <w:r w:rsidRPr="00D133CC">
              <w:rPr>
                <w:rFonts w:ascii="Times New Roman" w:hAnsi="Times New Roman" w:cs="Times New Roman"/>
                <w:sz w:val="24"/>
                <w:szCs w:val="24"/>
              </w:rPr>
              <w:t>Index</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CMD</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Common data model</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COXIBs</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Cyclo-oxygenase-II inhibitors</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CRF</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Case report form</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DAS28</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Disease Activity Score</w:t>
            </w:r>
            <w:r w:rsidR="00D133CC">
              <w:rPr>
                <w:rFonts w:ascii="Times New Roman" w:hAnsi="Times New Roman" w:cs="Times New Roman"/>
                <w:sz w:val="24"/>
                <w:szCs w:val="24"/>
              </w:rPr>
              <w:t xml:space="preserve"> with a 28-joint count</w:t>
            </w:r>
          </w:p>
        </w:tc>
      </w:tr>
      <w:tr w:rsidR="00D133CC" w:rsidRPr="00EF3776" w:rsidTr="003C1FEA">
        <w:tc>
          <w:tcPr>
            <w:tcW w:w="2456" w:type="dxa"/>
          </w:tcPr>
          <w:p w:rsidR="00D133CC" w:rsidRPr="00EF3776" w:rsidRDefault="00D133CC" w:rsidP="002F4A00">
            <w:pPr>
              <w:spacing w:after="120"/>
              <w:jc w:val="both"/>
              <w:rPr>
                <w:rFonts w:ascii="Times New Roman" w:hAnsi="Times New Roman" w:cs="Times New Roman"/>
                <w:sz w:val="24"/>
                <w:szCs w:val="24"/>
              </w:rPr>
            </w:pPr>
            <w:r w:rsidRPr="00D133CC">
              <w:rPr>
                <w:rFonts w:ascii="Times New Roman" w:hAnsi="Times New Roman" w:cs="Times New Roman"/>
                <w:sz w:val="24"/>
                <w:szCs w:val="24"/>
              </w:rPr>
              <w:t>DAS28-CRP</w:t>
            </w:r>
          </w:p>
        </w:tc>
        <w:tc>
          <w:tcPr>
            <w:tcW w:w="7012" w:type="dxa"/>
          </w:tcPr>
          <w:p w:rsidR="00D133CC" w:rsidRPr="00EF3776" w:rsidRDefault="00D133CC" w:rsidP="002F4A00">
            <w:pPr>
              <w:spacing w:after="120"/>
              <w:jc w:val="both"/>
              <w:rPr>
                <w:rFonts w:ascii="Times New Roman" w:hAnsi="Times New Roman" w:cs="Times New Roman"/>
                <w:sz w:val="24"/>
                <w:szCs w:val="24"/>
              </w:rPr>
            </w:pPr>
            <w:r>
              <w:rPr>
                <w:rFonts w:ascii="Times New Roman" w:hAnsi="Times New Roman" w:cs="Times New Roman"/>
                <w:sz w:val="24"/>
                <w:szCs w:val="24"/>
              </w:rPr>
              <w:t xml:space="preserve">DAS28 </w:t>
            </w:r>
            <w:r w:rsidRPr="00D133CC">
              <w:rPr>
                <w:rFonts w:ascii="Times New Roman" w:hAnsi="Times New Roman" w:cs="Times New Roman"/>
                <w:sz w:val="24"/>
                <w:szCs w:val="24"/>
              </w:rPr>
              <w:t>usi</w:t>
            </w:r>
            <w:r>
              <w:rPr>
                <w:rFonts w:ascii="Times New Roman" w:hAnsi="Times New Roman" w:cs="Times New Roman"/>
                <w:sz w:val="24"/>
                <w:szCs w:val="24"/>
              </w:rPr>
              <w:t>ng the C-reac</w:t>
            </w:r>
            <w:bookmarkStart w:id="0" w:name="_GoBack"/>
            <w:bookmarkEnd w:id="0"/>
            <w:r>
              <w:rPr>
                <w:rFonts w:ascii="Times New Roman" w:hAnsi="Times New Roman" w:cs="Times New Roman"/>
                <w:sz w:val="24"/>
                <w:szCs w:val="24"/>
              </w:rPr>
              <w:t>tive protein level</w:t>
            </w:r>
          </w:p>
        </w:tc>
      </w:tr>
      <w:tr w:rsidR="00D133CC" w:rsidRPr="00EF3776" w:rsidTr="003C1FEA">
        <w:tc>
          <w:tcPr>
            <w:tcW w:w="2456" w:type="dxa"/>
          </w:tcPr>
          <w:p w:rsidR="00D133CC" w:rsidRPr="00D133CC" w:rsidRDefault="00863358" w:rsidP="002F4A00">
            <w:pPr>
              <w:spacing w:after="120"/>
              <w:jc w:val="both"/>
              <w:rPr>
                <w:rFonts w:ascii="Times New Roman" w:hAnsi="Times New Roman" w:cs="Times New Roman"/>
                <w:sz w:val="24"/>
                <w:szCs w:val="24"/>
              </w:rPr>
            </w:pPr>
            <w:r>
              <w:rPr>
                <w:rFonts w:ascii="Times New Roman" w:hAnsi="Times New Roman" w:cs="Times New Roman"/>
                <w:sz w:val="24"/>
                <w:szCs w:val="24"/>
              </w:rPr>
              <w:t>DAS28-ESR</w:t>
            </w:r>
          </w:p>
        </w:tc>
        <w:tc>
          <w:tcPr>
            <w:tcW w:w="7012" w:type="dxa"/>
          </w:tcPr>
          <w:p w:rsidR="00D133CC" w:rsidRDefault="00D133CC" w:rsidP="002F4A00">
            <w:pPr>
              <w:spacing w:after="120"/>
              <w:jc w:val="both"/>
              <w:rPr>
                <w:rFonts w:ascii="Times New Roman" w:hAnsi="Times New Roman" w:cs="Times New Roman"/>
                <w:sz w:val="24"/>
                <w:szCs w:val="24"/>
              </w:rPr>
            </w:pPr>
            <w:r>
              <w:rPr>
                <w:rFonts w:ascii="Times New Roman" w:hAnsi="Times New Roman" w:cs="Times New Roman"/>
                <w:sz w:val="24"/>
                <w:szCs w:val="24"/>
              </w:rPr>
              <w:t xml:space="preserve">DAS28 </w:t>
            </w:r>
            <w:r w:rsidRPr="00D133CC">
              <w:rPr>
                <w:rFonts w:ascii="Times New Roman" w:hAnsi="Times New Roman" w:cs="Times New Roman"/>
                <w:sz w:val="24"/>
                <w:szCs w:val="24"/>
              </w:rPr>
              <w:t>usi</w:t>
            </w:r>
            <w:r>
              <w:rPr>
                <w:rFonts w:ascii="Times New Roman" w:hAnsi="Times New Roman" w:cs="Times New Roman"/>
                <w:sz w:val="24"/>
                <w:szCs w:val="24"/>
              </w:rPr>
              <w:t xml:space="preserve">ng the </w:t>
            </w:r>
            <w:r w:rsidRPr="00D133CC">
              <w:rPr>
                <w:rFonts w:ascii="Times New Roman" w:hAnsi="Times New Roman" w:cs="Times New Roman"/>
                <w:sz w:val="24"/>
                <w:szCs w:val="24"/>
              </w:rPr>
              <w:t>erythrocyte sedimentation rate</w:t>
            </w:r>
          </w:p>
        </w:tc>
      </w:tr>
      <w:tr w:rsidR="00863358" w:rsidRPr="00EF3776" w:rsidTr="003C1FEA">
        <w:tc>
          <w:tcPr>
            <w:tcW w:w="2456" w:type="dxa"/>
          </w:tcPr>
          <w:p w:rsidR="00863358" w:rsidRPr="00EF3776" w:rsidRDefault="00863358" w:rsidP="002F4A00">
            <w:pPr>
              <w:spacing w:after="120"/>
              <w:jc w:val="both"/>
              <w:rPr>
                <w:rFonts w:ascii="Times New Roman" w:hAnsi="Times New Roman" w:cs="Times New Roman"/>
                <w:sz w:val="24"/>
                <w:szCs w:val="24"/>
              </w:rPr>
            </w:pPr>
            <w:r>
              <w:rPr>
                <w:rFonts w:ascii="Times New Roman" w:hAnsi="Times New Roman" w:cs="Times New Roman"/>
                <w:sz w:val="24"/>
                <w:szCs w:val="24"/>
              </w:rPr>
              <w:t>DMARD</w:t>
            </w:r>
          </w:p>
        </w:tc>
        <w:tc>
          <w:tcPr>
            <w:tcW w:w="7012" w:type="dxa"/>
          </w:tcPr>
          <w:p w:rsidR="00863358" w:rsidRPr="00EF3776" w:rsidRDefault="00863358" w:rsidP="002F4A00">
            <w:pPr>
              <w:spacing w:after="120"/>
              <w:jc w:val="both"/>
              <w:rPr>
                <w:rFonts w:ascii="Times New Roman" w:hAnsi="Times New Roman" w:cs="Times New Roman"/>
                <w:sz w:val="24"/>
                <w:szCs w:val="24"/>
              </w:rPr>
            </w:pPr>
            <w:r>
              <w:rPr>
                <w:rFonts w:ascii="Times New Roman" w:hAnsi="Times New Roman" w:cs="Times New Roman"/>
                <w:sz w:val="24"/>
                <w:szCs w:val="24"/>
              </w:rPr>
              <w:t>D</w:t>
            </w:r>
            <w:r w:rsidRPr="00863358">
              <w:rPr>
                <w:rFonts w:ascii="Times New Roman" w:hAnsi="Times New Roman" w:cs="Times New Roman"/>
                <w:sz w:val="24"/>
                <w:szCs w:val="24"/>
              </w:rPr>
              <w:t>isease-modifying antirheumatic drugs</w:t>
            </w:r>
          </w:p>
        </w:tc>
      </w:tr>
      <w:tr w:rsidR="00C9508C" w:rsidRPr="00EF3776" w:rsidTr="003C1FEA">
        <w:tc>
          <w:tcPr>
            <w:tcW w:w="2456" w:type="dxa"/>
          </w:tcPr>
          <w:p w:rsidR="00C9508C" w:rsidRDefault="00C9508C" w:rsidP="002F4A00">
            <w:pPr>
              <w:spacing w:after="120"/>
              <w:jc w:val="both"/>
              <w:rPr>
                <w:rFonts w:ascii="Times New Roman" w:hAnsi="Times New Roman" w:cs="Times New Roman"/>
                <w:sz w:val="24"/>
                <w:szCs w:val="24"/>
              </w:rPr>
            </w:pPr>
            <w:r w:rsidRPr="00C9508C">
              <w:rPr>
                <w:rFonts w:ascii="Times New Roman" w:hAnsi="Times New Roman" w:cs="Times New Roman"/>
                <w:sz w:val="24"/>
                <w:szCs w:val="24"/>
              </w:rPr>
              <w:t>EQ-5D</w:t>
            </w:r>
          </w:p>
        </w:tc>
        <w:tc>
          <w:tcPr>
            <w:tcW w:w="7012" w:type="dxa"/>
          </w:tcPr>
          <w:p w:rsidR="00C9508C" w:rsidRDefault="00C9508C" w:rsidP="002F4A00">
            <w:pPr>
              <w:spacing w:after="120"/>
              <w:jc w:val="both"/>
              <w:rPr>
                <w:rFonts w:ascii="Times New Roman" w:hAnsi="Times New Roman" w:cs="Times New Roman"/>
                <w:sz w:val="24"/>
                <w:szCs w:val="24"/>
              </w:rPr>
            </w:pPr>
            <w:r w:rsidRPr="00C9508C">
              <w:rPr>
                <w:rFonts w:ascii="Times New Roman" w:hAnsi="Times New Roman" w:cs="Times New Roman"/>
                <w:sz w:val="24"/>
                <w:szCs w:val="24"/>
              </w:rPr>
              <w:t>EuroQol-5D</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HAQ-DI</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Health Assessment Questionnaire Disability Index</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HBI</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Harvey-Bradshaw Index</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IBD</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Inflammatory Bowel Disease</w:t>
            </w:r>
          </w:p>
        </w:tc>
      </w:tr>
      <w:tr w:rsidR="00BD2CEC" w:rsidRPr="00EF3776" w:rsidTr="003C1FEA">
        <w:tc>
          <w:tcPr>
            <w:tcW w:w="2456" w:type="dxa"/>
          </w:tcPr>
          <w:p w:rsidR="00BD2CEC" w:rsidRPr="00EF3776" w:rsidRDefault="00BD2CEC" w:rsidP="00BD2CEC">
            <w:pPr>
              <w:spacing w:after="120"/>
              <w:jc w:val="both"/>
              <w:rPr>
                <w:rFonts w:ascii="Times New Roman" w:hAnsi="Times New Roman" w:cs="Times New Roman"/>
                <w:sz w:val="24"/>
                <w:szCs w:val="24"/>
              </w:rPr>
            </w:pPr>
            <w:r w:rsidRPr="0030423A">
              <w:rPr>
                <w:rFonts w:ascii="Times New Roman" w:hAnsi="Times New Roman" w:cs="Times New Roman"/>
                <w:sz w:val="24"/>
                <w:szCs w:val="24"/>
              </w:rPr>
              <w:t>SIBDQ</w:t>
            </w:r>
          </w:p>
        </w:tc>
        <w:tc>
          <w:tcPr>
            <w:tcW w:w="7012" w:type="dxa"/>
          </w:tcPr>
          <w:p w:rsidR="00BD2CEC" w:rsidRPr="00EF3776" w:rsidRDefault="00BD2CEC" w:rsidP="00BD2CEC">
            <w:pPr>
              <w:spacing w:after="120"/>
              <w:jc w:val="both"/>
              <w:rPr>
                <w:rFonts w:ascii="Times New Roman" w:hAnsi="Times New Roman" w:cs="Times New Roman"/>
                <w:sz w:val="24"/>
                <w:szCs w:val="24"/>
              </w:rPr>
            </w:pPr>
            <w:r w:rsidRPr="0030423A">
              <w:rPr>
                <w:rFonts w:ascii="Times New Roman" w:hAnsi="Times New Roman" w:cs="Times New Roman"/>
                <w:sz w:val="24"/>
                <w:szCs w:val="24"/>
              </w:rPr>
              <w:t>Short Inflammato</w:t>
            </w:r>
            <w:r>
              <w:rPr>
                <w:rFonts w:ascii="Times New Roman" w:hAnsi="Times New Roman" w:cs="Times New Roman"/>
                <w:sz w:val="24"/>
                <w:szCs w:val="24"/>
              </w:rPr>
              <w:t>ry Bowel Disease Questionnaire</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ICF</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Informed consent form</w:t>
            </w:r>
          </w:p>
        </w:tc>
      </w:tr>
      <w:tr w:rsidR="00722BC5" w:rsidRPr="00EF3776" w:rsidTr="003C1FEA">
        <w:tc>
          <w:tcPr>
            <w:tcW w:w="2456" w:type="dxa"/>
          </w:tcPr>
          <w:p w:rsidR="00722BC5" w:rsidRPr="00EF3776" w:rsidRDefault="00E935D2" w:rsidP="002F4A00">
            <w:pPr>
              <w:spacing w:after="120"/>
              <w:jc w:val="both"/>
              <w:rPr>
                <w:rFonts w:ascii="Times New Roman" w:hAnsi="Times New Roman" w:cs="Times New Roman"/>
                <w:sz w:val="24"/>
                <w:szCs w:val="24"/>
              </w:rPr>
            </w:pPr>
            <w:proofErr w:type="spellStart"/>
            <w:r w:rsidRPr="0068343A">
              <w:rPr>
                <w:rFonts w:ascii="Times New Roman" w:hAnsi="Times New Roman" w:cs="Times New Roman"/>
                <w:sz w:val="24"/>
                <w:szCs w:val="24"/>
              </w:rPr>
              <w:t>mSASSS</w:t>
            </w:r>
            <w:proofErr w:type="spellEnd"/>
          </w:p>
        </w:tc>
        <w:tc>
          <w:tcPr>
            <w:tcW w:w="7012" w:type="dxa"/>
          </w:tcPr>
          <w:p w:rsidR="00722BC5" w:rsidRPr="00EF3776" w:rsidRDefault="00722BC5"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Stoke Ankylosing Spondylitis Spine Score</w:t>
            </w:r>
          </w:p>
        </w:tc>
      </w:tr>
      <w:tr w:rsidR="00286A5A" w:rsidRPr="00EF3776" w:rsidTr="003C1FEA">
        <w:tc>
          <w:tcPr>
            <w:tcW w:w="2456" w:type="dxa"/>
          </w:tcPr>
          <w:p w:rsidR="00286A5A" w:rsidRPr="00EF3776" w:rsidRDefault="00286A5A" w:rsidP="002F4A00">
            <w:pPr>
              <w:spacing w:after="120"/>
              <w:jc w:val="both"/>
              <w:rPr>
                <w:rFonts w:ascii="Times New Roman" w:hAnsi="Times New Roman" w:cs="Times New Roman"/>
                <w:sz w:val="24"/>
                <w:szCs w:val="24"/>
              </w:rPr>
            </w:pPr>
            <w:r w:rsidRPr="00286A5A">
              <w:rPr>
                <w:rFonts w:ascii="Times New Roman" w:hAnsi="Times New Roman" w:cs="Times New Roman"/>
                <w:sz w:val="24"/>
                <w:szCs w:val="24"/>
              </w:rPr>
              <w:t>NPDUIS</w:t>
            </w:r>
          </w:p>
        </w:tc>
        <w:tc>
          <w:tcPr>
            <w:tcW w:w="7012" w:type="dxa"/>
          </w:tcPr>
          <w:p w:rsidR="00286A5A" w:rsidRPr="00EF3776" w:rsidRDefault="00286A5A" w:rsidP="002F4A00">
            <w:pPr>
              <w:spacing w:after="120"/>
              <w:jc w:val="both"/>
              <w:rPr>
                <w:rFonts w:ascii="Times New Roman" w:hAnsi="Times New Roman" w:cs="Times New Roman"/>
                <w:sz w:val="24"/>
                <w:szCs w:val="24"/>
              </w:rPr>
            </w:pPr>
            <w:r w:rsidRPr="00286A5A">
              <w:rPr>
                <w:rFonts w:ascii="Times New Roman" w:hAnsi="Times New Roman" w:cs="Times New Roman"/>
                <w:sz w:val="24"/>
                <w:szCs w:val="24"/>
              </w:rPr>
              <w:t>National Prescription Drug Utilization Information System</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NSAIDs</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Non-steroidal anti-inflammatory drugs</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PMS</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Partial Mayo Score</w:t>
            </w:r>
          </w:p>
        </w:tc>
      </w:tr>
      <w:tr w:rsidR="00DC1339" w:rsidRPr="00EF3776" w:rsidTr="003C1FEA">
        <w:tc>
          <w:tcPr>
            <w:tcW w:w="2456"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RA</w:t>
            </w:r>
          </w:p>
        </w:tc>
        <w:tc>
          <w:tcPr>
            <w:tcW w:w="7012" w:type="dxa"/>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Rheumatoid Arthritis</w:t>
            </w:r>
          </w:p>
        </w:tc>
      </w:tr>
      <w:tr w:rsidR="005A7EAA" w:rsidRPr="00EF3776" w:rsidTr="003C1FEA">
        <w:tc>
          <w:tcPr>
            <w:tcW w:w="2456" w:type="dxa"/>
          </w:tcPr>
          <w:p w:rsidR="005A7EAA" w:rsidRPr="00EF3776" w:rsidRDefault="005A7EAA" w:rsidP="002F4A00">
            <w:pPr>
              <w:spacing w:after="120"/>
              <w:jc w:val="both"/>
              <w:rPr>
                <w:rFonts w:ascii="Times New Roman" w:hAnsi="Times New Roman" w:cs="Times New Roman"/>
                <w:sz w:val="24"/>
                <w:szCs w:val="24"/>
              </w:rPr>
            </w:pPr>
            <w:r>
              <w:rPr>
                <w:rFonts w:ascii="Times New Roman" w:hAnsi="Times New Roman" w:cs="Times New Roman"/>
                <w:sz w:val="24"/>
                <w:szCs w:val="24"/>
              </w:rPr>
              <w:t>SDAI</w:t>
            </w:r>
          </w:p>
        </w:tc>
        <w:tc>
          <w:tcPr>
            <w:tcW w:w="7012" w:type="dxa"/>
          </w:tcPr>
          <w:p w:rsidR="005A7EAA" w:rsidRPr="00EF3776" w:rsidRDefault="005A7EAA" w:rsidP="002F4A00">
            <w:pPr>
              <w:spacing w:after="120"/>
              <w:jc w:val="both"/>
              <w:rPr>
                <w:rFonts w:ascii="Times New Roman" w:hAnsi="Times New Roman" w:cs="Times New Roman"/>
                <w:sz w:val="24"/>
                <w:szCs w:val="24"/>
              </w:rPr>
            </w:pPr>
            <w:r w:rsidRPr="005A7EAA">
              <w:rPr>
                <w:rFonts w:ascii="Times New Roman" w:hAnsi="Times New Roman" w:cs="Times New Roman"/>
                <w:sz w:val="24"/>
                <w:szCs w:val="24"/>
              </w:rPr>
              <w:t>Simple Disease Activity Index</w:t>
            </w:r>
          </w:p>
        </w:tc>
      </w:tr>
      <w:tr w:rsidR="00850F1B" w:rsidRPr="00EF3776" w:rsidTr="003C1FEA">
        <w:tc>
          <w:tcPr>
            <w:tcW w:w="2456" w:type="dxa"/>
          </w:tcPr>
          <w:p w:rsidR="00850F1B" w:rsidRDefault="005152DD" w:rsidP="00BD2CEC">
            <w:pPr>
              <w:spacing w:after="120"/>
              <w:jc w:val="both"/>
              <w:rPr>
                <w:rFonts w:ascii="Times New Roman" w:hAnsi="Times New Roman" w:cs="Times New Roman"/>
                <w:sz w:val="24"/>
                <w:szCs w:val="24"/>
              </w:rPr>
            </w:pPr>
            <w:r>
              <w:rPr>
                <w:rFonts w:ascii="Times New Roman" w:hAnsi="Times New Roman" w:cs="Times New Roman"/>
                <w:sz w:val="24"/>
                <w:szCs w:val="24"/>
              </w:rPr>
              <w:t>VAS</w:t>
            </w:r>
          </w:p>
        </w:tc>
        <w:tc>
          <w:tcPr>
            <w:tcW w:w="7012" w:type="dxa"/>
          </w:tcPr>
          <w:p w:rsidR="00850F1B" w:rsidRPr="00642CBB" w:rsidRDefault="005152DD" w:rsidP="00BD2CEC">
            <w:pPr>
              <w:tabs>
                <w:tab w:val="left" w:pos="927"/>
              </w:tabs>
              <w:spacing w:after="120"/>
              <w:jc w:val="both"/>
              <w:rPr>
                <w:rFonts w:ascii="Times New Roman" w:hAnsi="Times New Roman" w:cs="Times New Roman"/>
                <w:sz w:val="24"/>
                <w:szCs w:val="24"/>
              </w:rPr>
            </w:pPr>
            <w:r>
              <w:rPr>
                <w:rFonts w:ascii="Times New Roman" w:hAnsi="Times New Roman" w:cs="Times New Roman"/>
                <w:sz w:val="24"/>
                <w:szCs w:val="24"/>
              </w:rPr>
              <w:t>Visual Analog Scale</w:t>
            </w:r>
          </w:p>
        </w:tc>
      </w:tr>
      <w:tr w:rsidR="003C1FEA" w:rsidRPr="00EF3776" w:rsidTr="003C1FEA">
        <w:tc>
          <w:tcPr>
            <w:tcW w:w="2456" w:type="dxa"/>
          </w:tcPr>
          <w:p w:rsidR="003C1FEA" w:rsidRDefault="003C1FEA" w:rsidP="00A5519A">
            <w:pPr>
              <w:spacing w:after="120"/>
              <w:jc w:val="both"/>
              <w:rPr>
                <w:rFonts w:ascii="Times New Roman" w:hAnsi="Times New Roman" w:cs="Times New Roman"/>
                <w:sz w:val="24"/>
                <w:szCs w:val="24"/>
              </w:rPr>
            </w:pPr>
            <w:r>
              <w:rPr>
                <w:rFonts w:ascii="Times New Roman" w:hAnsi="Times New Roman" w:cs="Times New Roman"/>
                <w:sz w:val="24"/>
                <w:szCs w:val="24"/>
              </w:rPr>
              <w:t>VR-12</w:t>
            </w:r>
          </w:p>
        </w:tc>
        <w:tc>
          <w:tcPr>
            <w:tcW w:w="7012" w:type="dxa"/>
          </w:tcPr>
          <w:p w:rsidR="003C1FEA" w:rsidRPr="003C1FEA" w:rsidRDefault="003C1FEA" w:rsidP="00A5519A">
            <w:pPr>
              <w:tabs>
                <w:tab w:val="left" w:pos="927"/>
              </w:tabs>
              <w:spacing w:after="120"/>
              <w:jc w:val="both"/>
              <w:rPr>
                <w:rFonts w:ascii="Times New Roman" w:hAnsi="Times New Roman" w:cs="Times New Roman"/>
                <w:color w:val="000000" w:themeColor="text1"/>
                <w:sz w:val="24"/>
                <w:szCs w:val="24"/>
              </w:rPr>
            </w:pPr>
            <w:bookmarkStart w:id="1" w:name="_Hlk509911313"/>
            <w:r w:rsidRPr="003C1FEA">
              <w:rPr>
                <w:rFonts w:ascii="Times New Roman" w:hAnsi="Times New Roman" w:cs="Times New Roman"/>
                <w:color w:val="000000" w:themeColor="text1"/>
                <w:sz w:val="24"/>
                <w:szCs w:val="24"/>
                <w:shd w:val="clear" w:color="auto" w:fill="FFFFFF"/>
              </w:rPr>
              <w:t>The veterans RAND 12-item health survey</w:t>
            </w:r>
            <w:bookmarkEnd w:id="1"/>
          </w:p>
        </w:tc>
      </w:tr>
      <w:tr w:rsidR="00DC1339" w:rsidRPr="00EF3776" w:rsidTr="003C1FEA">
        <w:tc>
          <w:tcPr>
            <w:tcW w:w="2456" w:type="dxa"/>
            <w:tcBorders>
              <w:bottom w:val="single" w:sz="4" w:space="0" w:color="auto"/>
            </w:tcBorders>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UC</w:t>
            </w:r>
          </w:p>
        </w:tc>
        <w:tc>
          <w:tcPr>
            <w:tcW w:w="7012" w:type="dxa"/>
            <w:tcBorders>
              <w:bottom w:val="single" w:sz="4" w:space="0" w:color="auto"/>
            </w:tcBorders>
          </w:tcPr>
          <w:p w:rsidR="00DC1339" w:rsidRPr="00EF3776" w:rsidRDefault="00DC1339" w:rsidP="002F4A00">
            <w:pPr>
              <w:spacing w:after="120"/>
              <w:jc w:val="both"/>
              <w:rPr>
                <w:rFonts w:ascii="Times New Roman" w:hAnsi="Times New Roman" w:cs="Times New Roman"/>
                <w:sz w:val="24"/>
                <w:szCs w:val="24"/>
              </w:rPr>
            </w:pPr>
            <w:r w:rsidRPr="00EF3776">
              <w:rPr>
                <w:rFonts w:ascii="Times New Roman" w:hAnsi="Times New Roman" w:cs="Times New Roman"/>
                <w:sz w:val="24"/>
                <w:szCs w:val="24"/>
              </w:rPr>
              <w:t>Ulcerative Colitis</w:t>
            </w:r>
          </w:p>
        </w:tc>
      </w:tr>
    </w:tbl>
    <w:p w:rsidR="00785692" w:rsidRPr="00EF3776" w:rsidRDefault="00785692" w:rsidP="002F4A00">
      <w:pPr>
        <w:spacing w:after="120" w:line="240" w:lineRule="auto"/>
        <w:jc w:val="both"/>
        <w:rPr>
          <w:rFonts w:ascii="Times New Roman" w:hAnsi="Times New Roman" w:cs="Times New Roman"/>
          <w:sz w:val="24"/>
          <w:szCs w:val="24"/>
        </w:rPr>
      </w:pPr>
    </w:p>
    <w:p w:rsidR="00E47268" w:rsidRPr="003A0760" w:rsidRDefault="00A351CA" w:rsidP="002F4A00">
      <w:pPr>
        <w:pStyle w:val="ListParagraph"/>
        <w:numPr>
          <w:ilvl w:val="0"/>
          <w:numId w:val="17"/>
        </w:numPr>
        <w:spacing w:after="120" w:line="240" w:lineRule="auto"/>
        <w:rPr>
          <w:rFonts w:ascii="Times New Roman" w:hAnsi="Times New Roman" w:cs="Times New Roman"/>
          <w:b/>
          <w:sz w:val="24"/>
          <w:szCs w:val="24"/>
        </w:rPr>
      </w:pPr>
      <w:r w:rsidRPr="00A351CA">
        <w:rPr>
          <w:rFonts w:ascii="Times New Roman" w:hAnsi="Times New Roman" w:cs="Times New Roman"/>
          <w:b/>
          <w:sz w:val="24"/>
          <w:szCs w:val="24"/>
        </w:rPr>
        <w:t>BACKGROUND</w:t>
      </w:r>
    </w:p>
    <w:p w:rsidR="00943629" w:rsidRDefault="00ED2773"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lastRenderedPageBreak/>
        <w:t xml:space="preserve">In Canada, and worldwide, there is a need </w:t>
      </w:r>
      <w:r w:rsidR="00020770" w:rsidRPr="00EF3776">
        <w:rPr>
          <w:rFonts w:ascii="Times New Roman" w:hAnsi="Times New Roman" w:cs="Times New Roman"/>
          <w:sz w:val="24"/>
          <w:szCs w:val="24"/>
        </w:rPr>
        <w:t>for</w:t>
      </w:r>
      <w:r w:rsidRPr="00EF3776">
        <w:rPr>
          <w:rFonts w:ascii="Times New Roman" w:hAnsi="Times New Roman" w:cs="Times New Roman"/>
          <w:sz w:val="24"/>
          <w:szCs w:val="24"/>
        </w:rPr>
        <w:t xml:space="preserve"> updated, independent, real-world comparative effectiveness and safety </w:t>
      </w:r>
      <w:r w:rsidR="00020770" w:rsidRPr="00EF3776">
        <w:rPr>
          <w:rFonts w:ascii="Times New Roman" w:hAnsi="Times New Roman" w:cs="Times New Roman"/>
          <w:sz w:val="24"/>
          <w:szCs w:val="24"/>
        </w:rPr>
        <w:t xml:space="preserve">data related to </w:t>
      </w:r>
      <w:r w:rsidRPr="00EF3776">
        <w:rPr>
          <w:rFonts w:ascii="Times New Roman" w:hAnsi="Times New Roman" w:cs="Times New Roman"/>
          <w:sz w:val="24"/>
          <w:szCs w:val="24"/>
        </w:rPr>
        <w:t xml:space="preserve">biologic </w:t>
      </w:r>
      <w:r w:rsidR="00020770" w:rsidRPr="00EF3776">
        <w:rPr>
          <w:rFonts w:ascii="Times New Roman" w:hAnsi="Times New Roman" w:cs="Times New Roman"/>
          <w:sz w:val="24"/>
          <w:szCs w:val="24"/>
        </w:rPr>
        <w:t xml:space="preserve">drugs including </w:t>
      </w:r>
      <w:r w:rsidRPr="00EF3776">
        <w:rPr>
          <w:rFonts w:ascii="Times New Roman" w:hAnsi="Times New Roman" w:cs="Times New Roman"/>
          <w:sz w:val="24"/>
          <w:szCs w:val="24"/>
        </w:rPr>
        <w:t xml:space="preserve">biosimilar drugs. </w:t>
      </w:r>
      <w:r w:rsidR="00577E34" w:rsidRPr="00EF3776">
        <w:rPr>
          <w:rFonts w:ascii="Times New Roman" w:hAnsi="Times New Roman" w:cs="Times New Roman"/>
          <w:sz w:val="24"/>
          <w:szCs w:val="24"/>
        </w:rPr>
        <w:t xml:space="preserve">Biosimilar drugs hold the potential to improve access to needed therapies at a reduced cost, enabling savings to be reallocated to other needs, benefiting a broader population and improving overall health outcomes. However, updated, real-world evidence on the comparative effectiveness and safety of biosimilar drugs is lacking. </w:t>
      </w:r>
      <w:r w:rsidR="00B34434">
        <w:rPr>
          <w:rFonts w:ascii="Times New Roman" w:hAnsi="Times New Roman" w:cs="Times New Roman"/>
          <w:sz w:val="24"/>
          <w:szCs w:val="24"/>
        </w:rPr>
        <w:t xml:space="preserve">Our </w:t>
      </w:r>
      <w:r w:rsidRPr="00EF3776">
        <w:rPr>
          <w:rFonts w:ascii="Times New Roman" w:hAnsi="Times New Roman" w:cs="Times New Roman"/>
          <w:sz w:val="24"/>
          <w:szCs w:val="24"/>
        </w:rPr>
        <w:t>CAN-AIM (</w:t>
      </w:r>
      <w:proofErr w:type="spellStart"/>
      <w:r w:rsidRPr="00EF3776">
        <w:rPr>
          <w:rFonts w:ascii="Times New Roman" w:hAnsi="Times New Roman" w:cs="Times New Roman"/>
          <w:sz w:val="24"/>
          <w:szCs w:val="24"/>
        </w:rPr>
        <w:t>CAnadian</w:t>
      </w:r>
      <w:proofErr w:type="spellEnd"/>
      <w:r w:rsidRPr="00EF3776">
        <w:rPr>
          <w:rFonts w:ascii="Times New Roman" w:hAnsi="Times New Roman" w:cs="Times New Roman"/>
          <w:sz w:val="24"/>
          <w:szCs w:val="24"/>
        </w:rPr>
        <w:t xml:space="preserve"> Network for Advanced Interdisciplinary Methods for comparative effectiveness research) </w:t>
      </w:r>
      <w:r w:rsidR="00B34434">
        <w:rPr>
          <w:rFonts w:ascii="Times New Roman" w:hAnsi="Times New Roman" w:cs="Times New Roman"/>
          <w:sz w:val="24"/>
          <w:szCs w:val="24"/>
        </w:rPr>
        <w:t xml:space="preserve">team </w:t>
      </w:r>
      <w:r w:rsidR="00264DAD" w:rsidRPr="00EF3776">
        <w:rPr>
          <w:rFonts w:ascii="Times New Roman" w:hAnsi="Times New Roman" w:cs="Times New Roman"/>
          <w:sz w:val="24"/>
          <w:szCs w:val="24"/>
        </w:rPr>
        <w:t xml:space="preserve">is </w:t>
      </w:r>
      <w:r w:rsidRPr="00EF3776">
        <w:rPr>
          <w:rFonts w:ascii="Times New Roman" w:hAnsi="Times New Roman" w:cs="Times New Roman"/>
          <w:sz w:val="24"/>
          <w:szCs w:val="24"/>
        </w:rPr>
        <w:t>well-positioned to develop an effective program of research and surveillance related to biologic and biosimilar drugs.</w:t>
      </w:r>
    </w:p>
    <w:p w:rsidR="000C5FE5" w:rsidRPr="006A456A" w:rsidRDefault="008E3CB4" w:rsidP="002F4A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this </w:t>
      </w:r>
      <w:r w:rsidR="0010690A">
        <w:rPr>
          <w:rFonts w:ascii="Times New Roman" w:hAnsi="Times New Roman" w:cs="Times New Roman"/>
          <w:sz w:val="24"/>
          <w:szCs w:val="24"/>
        </w:rPr>
        <w:t>proof of concept</w:t>
      </w:r>
      <w:r>
        <w:rPr>
          <w:rFonts w:ascii="Times New Roman" w:hAnsi="Times New Roman" w:cs="Times New Roman"/>
          <w:sz w:val="24"/>
          <w:szCs w:val="24"/>
        </w:rPr>
        <w:t xml:space="preserve"> project, we </w:t>
      </w:r>
      <w:r w:rsidR="006A033D">
        <w:rPr>
          <w:rFonts w:ascii="Times New Roman" w:hAnsi="Times New Roman" w:cs="Times New Roman"/>
          <w:sz w:val="24"/>
          <w:szCs w:val="24"/>
        </w:rPr>
        <w:t>aim</w:t>
      </w:r>
      <w:r>
        <w:rPr>
          <w:rFonts w:ascii="Times New Roman" w:hAnsi="Times New Roman" w:cs="Times New Roman"/>
          <w:sz w:val="24"/>
          <w:szCs w:val="24"/>
        </w:rPr>
        <w:t xml:space="preserve"> </w:t>
      </w:r>
      <w:r w:rsidR="006A033D">
        <w:rPr>
          <w:rFonts w:ascii="Times New Roman" w:hAnsi="Times New Roman" w:cs="Times New Roman"/>
          <w:sz w:val="24"/>
          <w:szCs w:val="24"/>
        </w:rPr>
        <w:t xml:space="preserve">to </w:t>
      </w:r>
      <w:r w:rsidR="0010690A">
        <w:rPr>
          <w:rFonts w:ascii="Times New Roman" w:hAnsi="Times New Roman" w:cs="Times New Roman"/>
          <w:sz w:val="24"/>
          <w:szCs w:val="24"/>
        </w:rPr>
        <w:t xml:space="preserve">demonstrate the </w:t>
      </w:r>
      <w:r>
        <w:rPr>
          <w:rFonts w:ascii="Times New Roman" w:hAnsi="Times New Roman" w:cs="Times New Roman"/>
          <w:sz w:val="24"/>
          <w:szCs w:val="24"/>
        </w:rPr>
        <w:t xml:space="preserve">feasibility of creating a network of clinical cohorts </w:t>
      </w:r>
      <w:r w:rsidR="0010690A">
        <w:rPr>
          <w:rFonts w:ascii="Times New Roman" w:hAnsi="Times New Roman" w:cs="Times New Roman"/>
          <w:sz w:val="24"/>
          <w:szCs w:val="24"/>
        </w:rPr>
        <w:t xml:space="preserve">and other resources </w:t>
      </w:r>
      <w:r>
        <w:rPr>
          <w:rFonts w:ascii="Times New Roman" w:hAnsi="Times New Roman" w:cs="Times New Roman"/>
          <w:sz w:val="24"/>
          <w:szCs w:val="24"/>
        </w:rPr>
        <w:t>to provide real-world information on the use of biosimilar</w:t>
      </w:r>
      <w:r w:rsidR="00113AB9">
        <w:rPr>
          <w:rFonts w:ascii="Times New Roman" w:hAnsi="Times New Roman" w:cs="Times New Roman"/>
          <w:sz w:val="24"/>
          <w:szCs w:val="24"/>
        </w:rPr>
        <w:t xml:space="preserve"> drugs</w:t>
      </w:r>
      <w:r>
        <w:rPr>
          <w:rFonts w:ascii="Times New Roman" w:hAnsi="Times New Roman" w:cs="Times New Roman"/>
          <w:sz w:val="24"/>
          <w:szCs w:val="24"/>
        </w:rPr>
        <w:t xml:space="preserve"> in Canada. </w:t>
      </w:r>
    </w:p>
    <w:p w:rsidR="000C5FE5" w:rsidRPr="00FB6AE5" w:rsidRDefault="0027618F" w:rsidP="002F4A00">
      <w:pPr>
        <w:spacing w:after="120" w:line="240" w:lineRule="auto"/>
        <w:jc w:val="both"/>
        <w:rPr>
          <w:rFonts w:ascii="Times New Roman" w:hAnsi="Times New Roman" w:cs="Times New Roman"/>
          <w:sz w:val="24"/>
          <w:szCs w:val="24"/>
        </w:rPr>
      </w:pPr>
      <w:r w:rsidRPr="00200615">
        <w:rPr>
          <w:rFonts w:ascii="Times New Roman" w:hAnsi="Times New Roman" w:cs="Times New Roman"/>
          <w:sz w:val="24"/>
          <w:szCs w:val="24"/>
        </w:rPr>
        <w:t>The core of our proposal revolves around the clinical datasets</w:t>
      </w:r>
      <w:r w:rsidR="006A456A" w:rsidRPr="002736DF">
        <w:rPr>
          <w:rFonts w:ascii="Times New Roman" w:hAnsi="Times New Roman" w:cs="Times New Roman"/>
          <w:sz w:val="24"/>
          <w:szCs w:val="24"/>
        </w:rPr>
        <w:t>, but we</w:t>
      </w:r>
      <w:r w:rsidR="00A351CA" w:rsidRPr="002736DF">
        <w:rPr>
          <w:rFonts w:ascii="Times New Roman" w:hAnsi="Times New Roman" w:cs="Times New Roman"/>
          <w:sz w:val="24"/>
          <w:szCs w:val="24"/>
        </w:rPr>
        <w:t xml:space="preserve"> will complement that with other </w:t>
      </w:r>
      <w:r w:rsidR="006A456A" w:rsidRPr="002736DF">
        <w:rPr>
          <w:rFonts w:ascii="Times New Roman" w:hAnsi="Times New Roman" w:cs="Times New Roman"/>
          <w:sz w:val="24"/>
          <w:szCs w:val="24"/>
        </w:rPr>
        <w:t>data sources</w:t>
      </w:r>
      <w:r w:rsidR="00A351CA" w:rsidRPr="002736DF">
        <w:rPr>
          <w:rFonts w:ascii="Times New Roman" w:hAnsi="Times New Roman" w:cs="Times New Roman"/>
          <w:sz w:val="24"/>
          <w:szCs w:val="24"/>
        </w:rPr>
        <w:t xml:space="preserve">. </w:t>
      </w:r>
      <w:r w:rsidR="00411B78">
        <w:rPr>
          <w:rFonts w:ascii="Times New Roman" w:hAnsi="Times New Roman" w:cs="Times New Roman"/>
          <w:sz w:val="24"/>
          <w:szCs w:val="24"/>
        </w:rPr>
        <w:t>T</w:t>
      </w:r>
      <w:r w:rsidR="006A456A" w:rsidRPr="002736DF">
        <w:rPr>
          <w:rFonts w:ascii="Times New Roman" w:hAnsi="Times New Roman" w:cs="Times New Roman"/>
          <w:sz w:val="24"/>
          <w:szCs w:val="24"/>
        </w:rPr>
        <w:t xml:space="preserve">o </w:t>
      </w:r>
      <w:r w:rsidR="00A351CA" w:rsidRPr="002736DF">
        <w:rPr>
          <w:rFonts w:ascii="Times New Roman" w:hAnsi="Times New Roman" w:cs="Times New Roman"/>
          <w:sz w:val="24"/>
          <w:szCs w:val="24"/>
        </w:rPr>
        <w:t>set the stage for our analyses, we will review data from the National Prescription Drug Utilization Information System (NPDUIS), a database that contains prescription claims-level data collected from publicly financed drug benefit programs in different provinces, to conduct an environmental scan of</w:t>
      </w:r>
      <w:r w:rsidR="006A456A" w:rsidRPr="002736DF">
        <w:rPr>
          <w:rFonts w:ascii="Times New Roman" w:hAnsi="Times New Roman" w:cs="Times New Roman"/>
          <w:sz w:val="24"/>
          <w:szCs w:val="24"/>
        </w:rPr>
        <w:t xml:space="preserve"> the use of </w:t>
      </w:r>
      <w:r w:rsidR="00C73F91">
        <w:rPr>
          <w:rFonts w:ascii="Times New Roman" w:hAnsi="Times New Roman" w:cs="Times New Roman"/>
          <w:sz w:val="24"/>
          <w:szCs w:val="24"/>
        </w:rPr>
        <w:t xml:space="preserve">biosimilars </w:t>
      </w:r>
      <w:r w:rsidR="00C73F91" w:rsidRPr="00FB6AE5">
        <w:rPr>
          <w:rFonts w:ascii="Times New Roman" w:hAnsi="Times New Roman" w:cs="Times New Roman"/>
          <w:sz w:val="24"/>
          <w:szCs w:val="24"/>
        </w:rPr>
        <w:t xml:space="preserve">and their respective </w:t>
      </w:r>
      <w:r w:rsidR="00C73F91">
        <w:rPr>
          <w:rFonts w:ascii="Times New Roman" w:hAnsi="Times New Roman" w:cs="Times New Roman"/>
          <w:sz w:val="24"/>
          <w:szCs w:val="24"/>
        </w:rPr>
        <w:t>legacy</w:t>
      </w:r>
      <w:r w:rsidR="00C73F91" w:rsidRPr="00FB6AE5">
        <w:rPr>
          <w:rFonts w:ascii="Times New Roman" w:hAnsi="Times New Roman" w:cs="Times New Roman"/>
          <w:sz w:val="24"/>
          <w:szCs w:val="24"/>
        </w:rPr>
        <w:t xml:space="preserve"> drugs</w:t>
      </w:r>
      <w:r w:rsidR="00C73F91">
        <w:rPr>
          <w:rFonts w:ascii="Times New Roman" w:hAnsi="Times New Roman" w:cs="Times New Roman"/>
          <w:sz w:val="24"/>
          <w:szCs w:val="24"/>
        </w:rPr>
        <w:t xml:space="preserve">, </w:t>
      </w:r>
      <w:r w:rsidR="006A456A" w:rsidRPr="002736DF">
        <w:rPr>
          <w:rFonts w:ascii="Times New Roman" w:hAnsi="Times New Roman" w:cs="Times New Roman"/>
          <w:sz w:val="24"/>
          <w:szCs w:val="24"/>
        </w:rPr>
        <w:t>and other anti-Tumor Necrosis Factor (TNF</w:t>
      </w:r>
      <w:r w:rsidR="006A456A" w:rsidRPr="00FB6AE5">
        <w:rPr>
          <w:rFonts w:ascii="Times New Roman" w:hAnsi="Times New Roman" w:cs="Times New Roman"/>
          <w:sz w:val="24"/>
          <w:szCs w:val="24"/>
        </w:rPr>
        <w:t xml:space="preserve">) </w:t>
      </w:r>
      <w:r w:rsidR="00C73F91">
        <w:rPr>
          <w:rFonts w:ascii="Times New Roman" w:hAnsi="Times New Roman" w:cs="Times New Roman"/>
          <w:sz w:val="24"/>
          <w:szCs w:val="24"/>
        </w:rPr>
        <w:t xml:space="preserve">agents </w:t>
      </w:r>
      <w:r w:rsidR="00A351CA" w:rsidRPr="00FB6AE5">
        <w:rPr>
          <w:rFonts w:ascii="Times New Roman" w:hAnsi="Times New Roman" w:cs="Times New Roman"/>
          <w:sz w:val="24"/>
          <w:szCs w:val="24"/>
        </w:rPr>
        <w:t xml:space="preserve">covered by provincial drug plans from 2014-2017. </w:t>
      </w:r>
      <w:r w:rsidR="00200615">
        <w:rPr>
          <w:rFonts w:ascii="Times New Roman" w:hAnsi="Times New Roman" w:cs="Times New Roman"/>
          <w:sz w:val="24"/>
          <w:szCs w:val="24"/>
        </w:rPr>
        <w:t>Through</w:t>
      </w:r>
      <w:r w:rsidR="00200615" w:rsidRPr="00FB6AE5">
        <w:rPr>
          <w:rFonts w:ascii="Times New Roman" w:hAnsi="Times New Roman" w:cs="Times New Roman"/>
          <w:sz w:val="24"/>
          <w:szCs w:val="24"/>
        </w:rPr>
        <w:t xml:space="preserve"> </w:t>
      </w:r>
      <w:r w:rsidR="006A456A" w:rsidRPr="00FB6AE5">
        <w:rPr>
          <w:rFonts w:ascii="Times New Roman" w:hAnsi="Times New Roman" w:cs="Times New Roman"/>
          <w:sz w:val="24"/>
          <w:szCs w:val="24"/>
        </w:rPr>
        <w:t xml:space="preserve">this exercise, we </w:t>
      </w:r>
      <w:r w:rsidR="00953242">
        <w:rPr>
          <w:rFonts w:ascii="Times New Roman" w:hAnsi="Times New Roman" w:cs="Times New Roman"/>
          <w:sz w:val="24"/>
          <w:szCs w:val="24"/>
        </w:rPr>
        <w:t xml:space="preserve">aim to analyze, retrospectively, persistence and time to discontinuation over a 365-day period of biosimilars, their respective legacy drugs and other TNF inhibitors prescribed across Canada to </w:t>
      </w:r>
      <w:r w:rsidR="006A456A" w:rsidRPr="00FB6AE5">
        <w:rPr>
          <w:rFonts w:ascii="Times New Roman" w:hAnsi="Times New Roman" w:cs="Times New Roman"/>
          <w:sz w:val="24"/>
          <w:szCs w:val="24"/>
        </w:rPr>
        <w:t>establish existing patterns of drug use</w:t>
      </w:r>
      <w:r w:rsidR="00BC4A7E" w:rsidRPr="00FB6AE5">
        <w:rPr>
          <w:rFonts w:ascii="Times New Roman" w:hAnsi="Times New Roman" w:cs="Times New Roman"/>
          <w:sz w:val="24"/>
          <w:szCs w:val="24"/>
        </w:rPr>
        <w:t>, as of 2017</w:t>
      </w:r>
      <w:r w:rsidR="00946ADD" w:rsidRPr="00FB6AE5">
        <w:rPr>
          <w:rFonts w:ascii="Times New Roman" w:hAnsi="Times New Roman" w:cs="Times New Roman"/>
          <w:sz w:val="24"/>
          <w:szCs w:val="24"/>
        </w:rPr>
        <w:t xml:space="preserve">. This initial analysis will help us </w:t>
      </w:r>
      <w:r w:rsidR="006A456A" w:rsidRPr="00FB6AE5">
        <w:rPr>
          <w:rFonts w:ascii="Times New Roman" w:hAnsi="Times New Roman" w:cs="Times New Roman"/>
          <w:sz w:val="24"/>
          <w:szCs w:val="24"/>
        </w:rPr>
        <w:t>to confirm that currently, the use of biosimilar</w:t>
      </w:r>
      <w:r w:rsidR="000717FE" w:rsidRPr="00FB6AE5">
        <w:rPr>
          <w:rFonts w:ascii="Times New Roman" w:hAnsi="Times New Roman" w:cs="Times New Roman"/>
          <w:sz w:val="24"/>
          <w:szCs w:val="24"/>
        </w:rPr>
        <w:t>s</w:t>
      </w:r>
      <w:r w:rsidR="006A456A" w:rsidRPr="00FB6AE5">
        <w:rPr>
          <w:rFonts w:ascii="Times New Roman" w:hAnsi="Times New Roman" w:cs="Times New Roman"/>
          <w:sz w:val="24"/>
          <w:szCs w:val="24"/>
        </w:rPr>
        <w:t xml:space="preserve"> </w:t>
      </w:r>
      <w:r w:rsidR="000717FE" w:rsidRPr="00FB6AE5">
        <w:rPr>
          <w:rFonts w:ascii="Times New Roman" w:hAnsi="Times New Roman" w:cs="Times New Roman"/>
          <w:sz w:val="24"/>
          <w:szCs w:val="24"/>
        </w:rPr>
        <w:t xml:space="preserve">is </w:t>
      </w:r>
      <w:r w:rsidR="006A456A" w:rsidRPr="00FB6AE5">
        <w:rPr>
          <w:rFonts w:ascii="Times New Roman" w:hAnsi="Times New Roman" w:cs="Times New Roman"/>
          <w:sz w:val="24"/>
          <w:szCs w:val="24"/>
        </w:rPr>
        <w:t>low</w:t>
      </w:r>
      <w:r w:rsidR="00BC4A7E" w:rsidRPr="00FB6AE5">
        <w:rPr>
          <w:rFonts w:ascii="Times New Roman" w:hAnsi="Times New Roman" w:cs="Times New Roman"/>
          <w:sz w:val="24"/>
          <w:szCs w:val="24"/>
        </w:rPr>
        <w:t>er</w:t>
      </w:r>
      <w:r w:rsidR="006A456A" w:rsidRPr="00FB6AE5">
        <w:rPr>
          <w:rFonts w:ascii="Times New Roman" w:hAnsi="Times New Roman" w:cs="Times New Roman"/>
          <w:sz w:val="24"/>
          <w:szCs w:val="24"/>
        </w:rPr>
        <w:t xml:space="preserve"> </w:t>
      </w:r>
      <w:r w:rsidR="000717FE" w:rsidRPr="00FB6AE5">
        <w:rPr>
          <w:rFonts w:ascii="Times New Roman" w:hAnsi="Times New Roman" w:cs="Times New Roman"/>
          <w:sz w:val="24"/>
          <w:szCs w:val="24"/>
        </w:rPr>
        <w:t>than their legacy drugs</w:t>
      </w:r>
      <w:r w:rsidR="00DA0683" w:rsidRPr="00FB6AE5">
        <w:rPr>
          <w:rStyle w:val="FootnoteReference"/>
          <w:rFonts w:ascii="Times New Roman" w:hAnsi="Times New Roman" w:cs="Times New Roman"/>
          <w:sz w:val="24"/>
          <w:szCs w:val="24"/>
        </w:rPr>
        <w:footnoteReference w:id="1"/>
      </w:r>
      <w:r w:rsidR="006A456A" w:rsidRPr="00FB6AE5">
        <w:rPr>
          <w:rFonts w:ascii="Times New Roman" w:hAnsi="Times New Roman" w:cs="Times New Roman"/>
          <w:sz w:val="24"/>
          <w:szCs w:val="24"/>
        </w:rPr>
        <w:t>. Emerging re</w:t>
      </w:r>
      <w:r w:rsidR="006A456A" w:rsidRPr="00FB6AE5">
        <w:rPr>
          <w:rFonts w:ascii="Times New Roman" w:hAnsi="Times New Roman" w:cs="Times New Roman"/>
          <w:sz w:val="24"/>
          <w:szCs w:val="24"/>
          <w:shd w:val="clear" w:color="auto" w:fill="FFFFFF"/>
        </w:rPr>
        <w:t>gulatory reform to facilitate biosimilar use may change patterns of use, but much can be learnt from this initial review. </w:t>
      </w:r>
      <w:r w:rsidR="002736DF" w:rsidRPr="00FB6AE5">
        <w:rPr>
          <w:rFonts w:ascii="Times New Roman" w:hAnsi="Times New Roman" w:cs="Times New Roman"/>
          <w:sz w:val="24"/>
          <w:szCs w:val="24"/>
          <w:shd w:val="clear" w:color="auto" w:fill="FFFFFF"/>
        </w:rPr>
        <w:t xml:space="preserve"> The same analyses can be performed in the later part of our work (using NPDUIS data from 2018-2022) to again capture Canada-wide patterns and trends, and compare to the patterns of use prior to 2018.</w:t>
      </w:r>
      <w:r w:rsidR="00200615">
        <w:rPr>
          <w:rFonts w:ascii="Times New Roman" w:hAnsi="Times New Roman" w:cs="Times New Roman"/>
          <w:sz w:val="24"/>
          <w:szCs w:val="24"/>
          <w:shd w:val="clear" w:color="auto" w:fill="FFFFFF"/>
        </w:rPr>
        <w:t xml:space="preserve"> We will also conduct retrospective analyses of biosimilar use in our study cohorts.</w:t>
      </w:r>
    </w:p>
    <w:p w:rsidR="009459E3" w:rsidRPr="003A0760" w:rsidRDefault="00A351CA" w:rsidP="002F4A00">
      <w:pPr>
        <w:pStyle w:val="ListParagraph"/>
        <w:numPr>
          <w:ilvl w:val="0"/>
          <w:numId w:val="17"/>
        </w:numPr>
        <w:spacing w:after="120" w:line="240" w:lineRule="auto"/>
        <w:rPr>
          <w:rFonts w:ascii="Times New Roman" w:hAnsi="Times New Roman" w:cs="Times New Roman"/>
          <w:b/>
          <w:sz w:val="24"/>
          <w:szCs w:val="24"/>
        </w:rPr>
      </w:pPr>
      <w:r w:rsidRPr="00A351CA">
        <w:rPr>
          <w:rFonts w:ascii="Times New Roman" w:hAnsi="Times New Roman" w:cs="Times New Roman"/>
          <w:b/>
          <w:sz w:val="24"/>
          <w:szCs w:val="24"/>
        </w:rPr>
        <w:t>OBJECTIVES</w:t>
      </w:r>
    </w:p>
    <w:p w:rsidR="003A6790" w:rsidRPr="0035730C" w:rsidRDefault="003A6790" w:rsidP="002F4A0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Our primary objectives are t</w:t>
      </w:r>
      <w:r w:rsidRPr="0035730C">
        <w:rPr>
          <w:rFonts w:ascii="Times New Roman" w:hAnsi="Times New Roman" w:cs="Times New Roman"/>
          <w:b/>
          <w:sz w:val="24"/>
          <w:szCs w:val="24"/>
        </w:rPr>
        <w:t xml:space="preserve">o </w:t>
      </w:r>
      <w:r>
        <w:rPr>
          <w:rFonts w:ascii="Times New Roman" w:hAnsi="Times New Roman" w:cs="Times New Roman"/>
          <w:b/>
          <w:sz w:val="24"/>
          <w:szCs w:val="24"/>
        </w:rPr>
        <w:t xml:space="preserve">compare, in </w:t>
      </w:r>
      <w:r w:rsidRPr="0035730C">
        <w:rPr>
          <w:rFonts w:ascii="Times New Roman" w:hAnsi="Times New Roman" w:cs="Times New Roman"/>
          <w:b/>
          <w:sz w:val="24"/>
          <w:szCs w:val="24"/>
        </w:rPr>
        <w:t>patients</w:t>
      </w:r>
      <w:r w:rsidRPr="00EF3776">
        <w:rPr>
          <w:rFonts w:ascii="Times New Roman" w:hAnsi="Times New Roman" w:cs="Times New Roman"/>
          <w:sz w:val="24"/>
          <w:szCs w:val="24"/>
        </w:rPr>
        <w:t xml:space="preserve"> </w:t>
      </w:r>
      <w:r w:rsidRPr="0035730C">
        <w:rPr>
          <w:rFonts w:ascii="Times New Roman" w:hAnsi="Times New Roman" w:cs="Times New Roman"/>
          <w:b/>
          <w:sz w:val="24"/>
          <w:szCs w:val="24"/>
        </w:rPr>
        <w:t xml:space="preserve">who are </w:t>
      </w:r>
      <w:r w:rsidR="008810DE">
        <w:rPr>
          <w:rFonts w:ascii="Times New Roman" w:hAnsi="Times New Roman" w:cs="Times New Roman"/>
          <w:sz w:val="24"/>
          <w:szCs w:val="24"/>
        </w:rPr>
        <w:t xml:space="preserve">starting on/switching to </w:t>
      </w:r>
      <w:proofErr w:type="spellStart"/>
      <w:r w:rsidR="00C73F91">
        <w:rPr>
          <w:rFonts w:ascii="Times New Roman" w:hAnsi="Times New Roman" w:cs="Times New Roman"/>
          <w:b/>
          <w:sz w:val="24"/>
          <w:szCs w:val="24"/>
        </w:rPr>
        <w:t>biosimilar</w:t>
      </w:r>
      <w:proofErr w:type="spellEnd"/>
      <w:r w:rsidR="00C73F91">
        <w:rPr>
          <w:rFonts w:ascii="Times New Roman" w:hAnsi="Times New Roman" w:cs="Times New Roman"/>
          <w:b/>
          <w:sz w:val="24"/>
          <w:szCs w:val="24"/>
        </w:rPr>
        <w:t xml:space="preserve"> </w:t>
      </w:r>
      <w:r w:rsidR="00395C7C">
        <w:rPr>
          <w:rFonts w:ascii="Times New Roman" w:hAnsi="Times New Roman" w:cs="Times New Roman"/>
          <w:b/>
          <w:sz w:val="24"/>
          <w:szCs w:val="24"/>
        </w:rPr>
        <w:t xml:space="preserve">drugs </w:t>
      </w:r>
      <w:r w:rsidR="008810DE">
        <w:rPr>
          <w:rFonts w:ascii="Times New Roman" w:hAnsi="Times New Roman" w:cs="Times New Roman"/>
          <w:b/>
          <w:sz w:val="24"/>
          <w:szCs w:val="24"/>
        </w:rPr>
        <w:t xml:space="preserve">or </w:t>
      </w:r>
      <w:r w:rsidR="00395C7C" w:rsidRPr="0065568C">
        <w:rPr>
          <w:rFonts w:ascii="Times New Roman" w:hAnsi="Times New Roman" w:cs="Times New Roman"/>
          <w:b/>
          <w:sz w:val="24"/>
          <w:szCs w:val="24"/>
        </w:rPr>
        <w:t>their equivalent legacy drugs</w:t>
      </w:r>
      <w:r>
        <w:rPr>
          <w:rFonts w:ascii="Times New Roman" w:hAnsi="Times New Roman" w:cs="Times New Roman"/>
          <w:b/>
          <w:sz w:val="24"/>
          <w:szCs w:val="24"/>
        </w:rPr>
        <w:t>:</w:t>
      </w:r>
    </w:p>
    <w:p w:rsidR="003A6790" w:rsidRPr="0035730C" w:rsidRDefault="003A6790" w:rsidP="002F4A00">
      <w:pPr>
        <w:spacing w:after="120" w:line="240" w:lineRule="auto"/>
        <w:jc w:val="both"/>
        <w:rPr>
          <w:rFonts w:ascii="Times New Roman" w:hAnsi="Times New Roman" w:cs="Times New Roman"/>
          <w:sz w:val="24"/>
          <w:szCs w:val="24"/>
        </w:rPr>
      </w:pPr>
      <w:r w:rsidRPr="0035730C">
        <w:rPr>
          <w:rFonts w:ascii="Times New Roman" w:hAnsi="Times New Roman" w:cs="Times New Roman"/>
          <w:sz w:val="24"/>
          <w:szCs w:val="24"/>
        </w:rPr>
        <w:t xml:space="preserve">1. Frequency </w:t>
      </w:r>
      <w:r>
        <w:rPr>
          <w:rFonts w:ascii="Times New Roman" w:hAnsi="Times New Roman" w:cs="Times New Roman"/>
          <w:sz w:val="24"/>
          <w:szCs w:val="24"/>
        </w:rPr>
        <w:t>of discontinuation of the initial therapy</w:t>
      </w:r>
    </w:p>
    <w:p w:rsidR="003A6790" w:rsidRPr="0035730C" w:rsidRDefault="003A6790" w:rsidP="002F4A00">
      <w:pPr>
        <w:spacing w:after="120" w:line="240" w:lineRule="auto"/>
        <w:jc w:val="both"/>
        <w:rPr>
          <w:rFonts w:ascii="Times New Roman" w:hAnsi="Times New Roman" w:cs="Times New Roman"/>
          <w:sz w:val="24"/>
          <w:szCs w:val="24"/>
        </w:rPr>
      </w:pPr>
      <w:r w:rsidRPr="0035730C">
        <w:rPr>
          <w:rFonts w:ascii="Times New Roman" w:hAnsi="Times New Roman" w:cs="Times New Roman"/>
          <w:sz w:val="24"/>
          <w:szCs w:val="24"/>
        </w:rPr>
        <w:t>2. Persistence</w:t>
      </w:r>
      <w:r>
        <w:rPr>
          <w:rFonts w:ascii="Times New Roman" w:hAnsi="Times New Roman" w:cs="Times New Roman"/>
          <w:sz w:val="24"/>
          <w:szCs w:val="24"/>
        </w:rPr>
        <w:t xml:space="preserve"> (time until drug discontinuation)</w:t>
      </w:r>
      <w:r w:rsidR="00B16CB2" w:rsidRPr="00B16CB2">
        <w:rPr>
          <w:rFonts w:ascii="Times New Roman" w:hAnsi="Times New Roman" w:cs="Times New Roman"/>
          <w:sz w:val="24"/>
          <w:szCs w:val="24"/>
        </w:rPr>
        <w:t xml:space="preserve"> </w:t>
      </w:r>
      <w:r w:rsidR="00B16CB2">
        <w:rPr>
          <w:rFonts w:ascii="Times New Roman" w:hAnsi="Times New Roman" w:cs="Times New Roman"/>
          <w:sz w:val="24"/>
          <w:szCs w:val="24"/>
        </w:rPr>
        <w:t>for the initial therapy</w:t>
      </w:r>
    </w:p>
    <w:p w:rsidR="003A6790" w:rsidRPr="0035730C" w:rsidRDefault="003A6790" w:rsidP="002F4A00">
      <w:pPr>
        <w:spacing w:after="120" w:line="240" w:lineRule="auto"/>
        <w:jc w:val="both"/>
        <w:rPr>
          <w:rFonts w:ascii="Times New Roman" w:hAnsi="Times New Roman" w:cs="Times New Roman"/>
          <w:sz w:val="24"/>
          <w:szCs w:val="24"/>
          <w:lang w:val="en-US"/>
        </w:rPr>
      </w:pPr>
      <w:r w:rsidRPr="0035730C">
        <w:rPr>
          <w:rFonts w:ascii="Times New Roman" w:hAnsi="Times New Roman" w:cs="Times New Roman"/>
          <w:sz w:val="24"/>
          <w:szCs w:val="24"/>
          <w:lang w:val="en-US"/>
        </w:rPr>
        <w:t xml:space="preserve">3. Frequency of patients </w:t>
      </w:r>
      <w:r w:rsidR="00D3556D">
        <w:rPr>
          <w:rFonts w:ascii="Times New Roman" w:hAnsi="Times New Roman" w:cs="Times New Roman"/>
          <w:sz w:val="24"/>
          <w:szCs w:val="24"/>
          <w:lang w:val="en-US"/>
        </w:rPr>
        <w:t>starting</w:t>
      </w:r>
      <w:r w:rsidRPr="0035730C">
        <w:rPr>
          <w:rFonts w:ascii="Times New Roman" w:hAnsi="Times New Roman" w:cs="Times New Roman"/>
          <w:sz w:val="24"/>
          <w:szCs w:val="24"/>
          <w:lang w:val="en-US"/>
        </w:rPr>
        <w:t xml:space="preserve"> or increasing</w:t>
      </w:r>
      <w:r>
        <w:rPr>
          <w:rFonts w:ascii="Times New Roman" w:hAnsi="Times New Roman" w:cs="Times New Roman"/>
          <w:sz w:val="24"/>
          <w:szCs w:val="24"/>
        </w:rPr>
        <w:t xml:space="preserve"> prednisone</w:t>
      </w:r>
      <w:r w:rsidRPr="0035730C">
        <w:rPr>
          <w:rFonts w:ascii="Times New Roman" w:hAnsi="Times New Roman" w:cs="Times New Roman"/>
          <w:sz w:val="24"/>
          <w:szCs w:val="24"/>
        </w:rPr>
        <w:t xml:space="preserve"> or other immunosuppressive drugs</w:t>
      </w:r>
    </w:p>
    <w:p w:rsidR="00BD2CEC" w:rsidRDefault="003A6790" w:rsidP="00BD2CEC">
      <w:pPr>
        <w:spacing w:after="120" w:line="240" w:lineRule="auto"/>
        <w:jc w:val="both"/>
        <w:rPr>
          <w:rFonts w:ascii="Times New Roman" w:hAnsi="Times New Roman" w:cs="Times New Roman"/>
          <w:sz w:val="24"/>
          <w:szCs w:val="24"/>
        </w:rPr>
      </w:pPr>
      <w:r w:rsidRPr="0035730C">
        <w:rPr>
          <w:rFonts w:ascii="Times New Roman" w:hAnsi="Times New Roman" w:cs="Times New Roman"/>
          <w:sz w:val="24"/>
          <w:szCs w:val="24"/>
        </w:rPr>
        <w:t>4. Frequency of and time to discontinuation of treatment due to ineffectiveness</w:t>
      </w:r>
    </w:p>
    <w:p w:rsidR="00BD2CEC" w:rsidRPr="00BD2CEC" w:rsidRDefault="00BD2CEC" w:rsidP="00BD2CE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D2CEC">
        <w:rPr>
          <w:rFonts w:ascii="Times New Roman" w:hAnsi="Times New Roman" w:cs="Times New Roman"/>
          <w:sz w:val="24"/>
          <w:szCs w:val="24"/>
        </w:rPr>
        <w:t xml:space="preserve">Frequency of and time to </w:t>
      </w:r>
    </w:p>
    <w:p w:rsidR="00BD2CEC" w:rsidRDefault="00BD2CEC" w:rsidP="00BD2CEC">
      <w:pPr>
        <w:pStyle w:val="ListParagraph"/>
        <w:numPr>
          <w:ilvl w:val="1"/>
          <w:numId w:val="1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943225">
        <w:rPr>
          <w:rFonts w:ascii="Times New Roman" w:hAnsi="Times New Roman" w:cs="Times New Roman"/>
          <w:sz w:val="24"/>
          <w:szCs w:val="24"/>
        </w:rPr>
        <w:t xml:space="preserve">nduction </w:t>
      </w:r>
      <w:r>
        <w:rPr>
          <w:rFonts w:ascii="Times New Roman" w:hAnsi="Times New Roman" w:cs="Times New Roman"/>
          <w:sz w:val="24"/>
          <w:szCs w:val="24"/>
        </w:rPr>
        <w:t xml:space="preserve">and maintenance </w:t>
      </w:r>
      <w:r w:rsidRPr="00943225">
        <w:rPr>
          <w:rFonts w:ascii="Times New Roman" w:hAnsi="Times New Roman" w:cs="Times New Roman"/>
          <w:sz w:val="24"/>
          <w:szCs w:val="24"/>
        </w:rPr>
        <w:t>of response</w:t>
      </w:r>
    </w:p>
    <w:p w:rsidR="00BD2CEC" w:rsidRPr="00943225" w:rsidRDefault="00BD2CEC" w:rsidP="00BD2CEC">
      <w:pPr>
        <w:pStyle w:val="ListParagraph"/>
        <w:numPr>
          <w:ilvl w:val="1"/>
          <w:numId w:val="1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Clinical remission and sustained clinical remission</w:t>
      </w:r>
    </w:p>
    <w:p w:rsidR="00FD329D" w:rsidRPr="00EF3776" w:rsidRDefault="003A6790" w:rsidP="002F4A00">
      <w:pPr>
        <w:spacing w:after="120" w:line="240" w:lineRule="auto"/>
        <w:jc w:val="both"/>
        <w:rPr>
          <w:rFonts w:ascii="Times New Roman" w:hAnsi="Times New Roman" w:cs="Times New Roman"/>
          <w:sz w:val="24"/>
          <w:szCs w:val="24"/>
        </w:rPr>
      </w:pPr>
      <w:r w:rsidRPr="0035730C">
        <w:rPr>
          <w:rFonts w:ascii="Times New Roman" w:hAnsi="Times New Roman" w:cs="Times New Roman"/>
          <w:sz w:val="24"/>
          <w:szCs w:val="24"/>
        </w:rPr>
        <w:t>6. Frequency of and time to serious adverse events</w:t>
      </w:r>
      <w:r w:rsidR="00113AB9">
        <w:rPr>
          <w:rFonts w:ascii="Times New Roman" w:hAnsi="Times New Roman" w:cs="Times New Roman"/>
          <w:sz w:val="24"/>
          <w:szCs w:val="24"/>
        </w:rPr>
        <w:t>.</w:t>
      </w:r>
    </w:p>
    <w:p w:rsidR="00915210" w:rsidRPr="003A0760" w:rsidRDefault="00A351CA" w:rsidP="002F4A00">
      <w:pPr>
        <w:pStyle w:val="ListParagraph"/>
        <w:numPr>
          <w:ilvl w:val="0"/>
          <w:numId w:val="17"/>
        </w:numPr>
        <w:spacing w:after="120" w:line="240" w:lineRule="auto"/>
        <w:rPr>
          <w:rFonts w:ascii="Times New Roman" w:hAnsi="Times New Roman" w:cs="Times New Roman"/>
          <w:b/>
          <w:sz w:val="24"/>
          <w:szCs w:val="24"/>
        </w:rPr>
      </w:pPr>
      <w:r w:rsidRPr="00A351CA">
        <w:rPr>
          <w:rFonts w:ascii="Times New Roman" w:hAnsi="Times New Roman" w:cs="Times New Roman"/>
          <w:b/>
          <w:sz w:val="24"/>
          <w:szCs w:val="24"/>
        </w:rPr>
        <w:t>METHODS</w:t>
      </w:r>
    </w:p>
    <w:p w:rsidR="00C57D5A" w:rsidRDefault="00C57D5A" w:rsidP="00AC46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will be working with two </w:t>
      </w:r>
      <w:r w:rsidR="00FC6D24">
        <w:rPr>
          <w:rFonts w:ascii="Times New Roman" w:hAnsi="Times New Roman" w:cs="Times New Roman"/>
          <w:sz w:val="24"/>
          <w:szCs w:val="24"/>
        </w:rPr>
        <w:t xml:space="preserve">types of </w:t>
      </w:r>
      <w:r>
        <w:rPr>
          <w:rFonts w:ascii="Times New Roman" w:hAnsi="Times New Roman" w:cs="Times New Roman"/>
          <w:sz w:val="24"/>
          <w:szCs w:val="24"/>
        </w:rPr>
        <w:t>cohorts</w:t>
      </w:r>
      <w:r w:rsidR="00AC46B8">
        <w:rPr>
          <w:rFonts w:ascii="Times New Roman" w:hAnsi="Times New Roman" w:cs="Times New Roman"/>
          <w:sz w:val="24"/>
          <w:szCs w:val="24"/>
        </w:rPr>
        <w:t>; more specifically, n</w:t>
      </w:r>
      <w:r>
        <w:rPr>
          <w:rFonts w:ascii="Times New Roman" w:hAnsi="Times New Roman" w:cs="Times New Roman"/>
          <w:sz w:val="24"/>
          <w:szCs w:val="24"/>
        </w:rPr>
        <w:t xml:space="preserve">ew </w:t>
      </w:r>
      <w:r w:rsidR="00FC6D24">
        <w:rPr>
          <w:rFonts w:ascii="Times New Roman" w:hAnsi="Times New Roman" w:cs="Times New Roman"/>
          <w:sz w:val="24"/>
          <w:szCs w:val="24"/>
        </w:rPr>
        <w:t>cohorts</w:t>
      </w:r>
      <w:r>
        <w:rPr>
          <w:rFonts w:ascii="Times New Roman" w:hAnsi="Times New Roman" w:cs="Times New Roman"/>
          <w:sz w:val="24"/>
          <w:szCs w:val="24"/>
        </w:rPr>
        <w:t xml:space="preserve"> collecting data </w:t>
      </w:r>
      <w:r w:rsidR="00FC6D24">
        <w:rPr>
          <w:rFonts w:ascii="Times New Roman" w:hAnsi="Times New Roman" w:cs="Times New Roman"/>
          <w:sz w:val="24"/>
          <w:szCs w:val="24"/>
        </w:rPr>
        <w:t xml:space="preserve">prospectively </w:t>
      </w:r>
      <w:r>
        <w:rPr>
          <w:rFonts w:ascii="Times New Roman" w:hAnsi="Times New Roman" w:cs="Times New Roman"/>
          <w:sz w:val="24"/>
          <w:szCs w:val="24"/>
        </w:rPr>
        <w:t>and established cohorts that will share their retrospective and prospective data</w:t>
      </w:r>
      <w:r w:rsidR="00AC46B8">
        <w:rPr>
          <w:rFonts w:ascii="Times New Roman" w:hAnsi="Times New Roman" w:cs="Times New Roman"/>
          <w:sz w:val="24"/>
          <w:szCs w:val="24"/>
        </w:rPr>
        <w:t xml:space="preserve"> as per Data Transfer Agreements</w:t>
      </w:r>
      <w:r>
        <w:rPr>
          <w:rFonts w:ascii="Times New Roman" w:hAnsi="Times New Roman" w:cs="Times New Roman"/>
          <w:sz w:val="24"/>
          <w:szCs w:val="24"/>
        </w:rPr>
        <w:t>.</w:t>
      </w:r>
      <w:r w:rsidR="00AC46B8">
        <w:rPr>
          <w:rFonts w:ascii="Times New Roman" w:hAnsi="Times New Roman" w:cs="Times New Roman"/>
          <w:sz w:val="24"/>
          <w:szCs w:val="24"/>
        </w:rPr>
        <w:t xml:space="preserve">  </w:t>
      </w:r>
      <w:r>
        <w:rPr>
          <w:rFonts w:ascii="Times New Roman" w:hAnsi="Times New Roman" w:cs="Times New Roman"/>
          <w:sz w:val="24"/>
          <w:szCs w:val="24"/>
        </w:rPr>
        <w:t>Data from these cohorts will be analyzed together</w:t>
      </w:r>
      <w:r w:rsidR="00FA681A">
        <w:rPr>
          <w:rFonts w:ascii="Times New Roman" w:hAnsi="Times New Roman" w:cs="Times New Roman"/>
          <w:sz w:val="24"/>
          <w:szCs w:val="24"/>
        </w:rPr>
        <w:t>.</w:t>
      </w:r>
    </w:p>
    <w:p w:rsidR="00C57D5A" w:rsidRDefault="00C57D5A" w:rsidP="00C57D5A">
      <w:pPr>
        <w:spacing w:after="0" w:line="240" w:lineRule="auto"/>
        <w:jc w:val="both"/>
        <w:rPr>
          <w:rFonts w:ascii="Times New Roman" w:hAnsi="Times New Roman" w:cs="Times New Roman"/>
          <w:sz w:val="24"/>
          <w:szCs w:val="24"/>
        </w:rPr>
      </w:pPr>
    </w:p>
    <w:p w:rsidR="0089197D" w:rsidRPr="00EF3776" w:rsidRDefault="0089197D" w:rsidP="002F4A00">
      <w:pPr>
        <w:spacing w:after="120" w:line="240" w:lineRule="auto"/>
        <w:jc w:val="both"/>
        <w:rPr>
          <w:rFonts w:ascii="Times New Roman" w:hAnsi="Times New Roman" w:cs="Times New Roman"/>
          <w:i/>
          <w:sz w:val="24"/>
          <w:szCs w:val="24"/>
        </w:rPr>
      </w:pPr>
      <w:r w:rsidRPr="00FA681A">
        <w:rPr>
          <w:rFonts w:ascii="Times New Roman" w:hAnsi="Times New Roman" w:cs="Times New Roman"/>
          <w:i/>
          <w:sz w:val="24"/>
          <w:szCs w:val="24"/>
        </w:rPr>
        <w:t>Enrolment</w:t>
      </w:r>
    </w:p>
    <w:p w:rsidR="007A1DB5" w:rsidRPr="00B81D3B" w:rsidRDefault="00AC46C0" w:rsidP="002F4A00">
      <w:pPr>
        <w:spacing w:after="120" w:line="240" w:lineRule="auto"/>
        <w:jc w:val="both"/>
        <w:rPr>
          <w:rFonts w:ascii="Times New Roman" w:hAnsi="Times New Roman" w:cs="Times New Roman"/>
          <w:color w:val="FF0000"/>
          <w:sz w:val="24"/>
          <w:szCs w:val="24"/>
        </w:rPr>
      </w:pPr>
      <w:r w:rsidRPr="00EF3776">
        <w:rPr>
          <w:rFonts w:ascii="Times New Roman" w:hAnsi="Times New Roman" w:cs="Times New Roman"/>
          <w:sz w:val="24"/>
          <w:szCs w:val="24"/>
        </w:rPr>
        <w:t xml:space="preserve">We are working with </w:t>
      </w:r>
      <w:r w:rsidR="00915210" w:rsidRPr="00EF3776">
        <w:rPr>
          <w:rFonts w:ascii="Times New Roman" w:hAnsi="Times New Roman" w:cs="Times New Roman"/>
          <w:sz w:val="24"/>
          <w:szCs w:val="24"/>
        </w:rPr>
        <w:t>pan-Canadian, pros</w:t>
      </w:r>
      <w:r w:rsidR="00264DAD" w:rsidRPr="00EF3776">
        <w:rPr>
          <w:rFonts w:ascii="Times New Roman" w:hAnsi="Times New Roman" w:cs="Times New Roman"/>
          <w:sz w:val="24"/>
          <w:szCs w:val="24"/>
        </w:rPr>
        <w:t>pective</w:t>
      </w:r>
      <w:r w:rsidRPr="00EF3776">
        <w:rPr>
          <w:rFonts w:ascii="Times New Roman" w:hAnsi="Times New Roman" w:cs="Times New Roman"/>
          <w:sz w:val="24"/>
          <w:szCs w:val="24"/>
        </w:rPr>
        <w:t xml:space="preserve"> cohorts </w:t>
      </w:r>
      <w:r w:rsidR="00264DAD" w:rsidRPr="00EF3776">
        <w:rPr>
          <w:rFonts w:ascii="Times New Roman" w:hAnsi="Times New Roman" w:cs="Times New Roman"/>
          <w:sz w:val="24"/>
          <w:szCs w:val="24"/>
        </w:rPr>
        <w:t xml:space="preserve">of </w:t>
      </w:r>
      <w:r w:rsidR="00E87139">
        <w:rPr>
          <w:rFonts w:ascii="Times New Roman" w:hAnsi="Times New Roman" w:cs="Times New Roman"/>
          <w:sz w:val="24"/>
          <w:szCs w:val="24"/>
        </w:rPr>
        <w:t xml:space="preserve">patients with </w:t>
      </w:r>
      <w:r w:rsidR="00E87139" w:rsidRPr="00E87139">
        <w:rPr>
          <w:rFonts w:ascii="Times New Roman" w:hAnsi="Times New Roman" w:cs="Times New Roman"/>
          <w:sz w:val="24"/>
          <w:szCs w:val="24"/>
        </w:rPr>
        <w:t>inflammatory rheumatic diseases</w:t>
      </w:r>
      <w:r w:rsidR="00E87139">
        <w:rPr>
          <w:rFonts w:ascii="Times New Roman" w:hAnsi="Times New Roman" w:cs="Times New Roman"/>
          <w:sz w:val="24"/>
          <w:szCs w:val="24"/>
        </w:rPr>
        <w:t xml:space="preserve"> (</w:t>
      </w:r>
      <w:r w:rsidR="00264DAD" w:rsidRPr="00EF3776">
        <w:rPr>
          <w:rFonts w:ascii="Times New Roman" w:hAnsi="Times New Roman" w:cs="Times New Roman"/>
          <w:sz w:val="24"/>
          <w:szCs w:val="24"/>
        </w:rPr>
        <w:t>rheumatoid arthritis</w:t>
      </w:r>
      <w:r w:rsidR="002736DF">
        <w:rPr>
          <w:rFonts w:ascii="Times New Roman" w:hAnsi="Times New Roman" w:cs="Times New Roman"/>
          <w:sz w:val="24"/>
          <w:szCs w:val="24"/>
        </w:rPr>
        <w:t xml:space="preserve">, </w:t>
      </w:r>
      <w:r w:rsidR="00915210" w:rsidRPr="00EF3776">
        <w:rPr>
          <w:rFonts w:ascii="Times New Roman" w:hAnsi="Times New Roman" w:cs="Times New Roman"/>
          <w:sz w:val="24"/>
          <w:szCs w:val="24"/>
        </w:rPr>
        <w:t>RA</w:t>
      </w:r>
      <w:r w:rsidR="002736DF">
        <w:rPr>
          <w:rFonts w:ascii="Times New Roman" w:hAnsi="Times New Roman" w:cs="Times New Roman"/>
          <w:sz w:val="24"/>
          <w:szCs w:val="24"/>
        </w:rPr>
        <w:t>,</w:t>
      </w:r>
      <w:r w:rsidR="00E87139">
        <w:rPr>
          <w:rFonts w:ascii="Times New Roman" w:hAnsi="Times New Roman" w:cs="Times New Roman"/>
          <w:sz w:val="24"/>
          <w:szCs w:val="24"/>
        </w:rPr>
        <w:t xml:space="preserve"> and</w:t>
      </w:r>
      <w:r w:rsidR="00915210" w:rsidRPr="00EF3776">
        <w:rPr>
          <w:rFonts w:ascii="Times New Roman" w:hAnsi="Times New Roman" w:cs="Times New Roman"/>
          <w:sz w:val="24"/>
          <w:szCs w:val="24"/>
        </w:rPr>
        <w:t xml:space="preserve"> </w:t>
      </w:r>
      <w:r w:rsidR="00264DAD" w:rsidRPr="00EF3776">
        <w:rPr>
          <w:rFonts w:ascii="Times New Roman" w:hAnsi="Times New Roman" w:cs="Times New Roman"/>
          <w:sz w:val="24"/>
          <w:szCs w:val="24"/>
        </w:rPr>
        <w:t>ankylosing spondylitis</w:t>
      </w:r>
      <w:r w:rsidR="002736DF">
        <w:rPr>
          <w:rFonts w:ascii="Times New Roman" w:hAnsi="Times New Roman" w:cs="Times New Roman"/>
          <w:sz w:val="24"/>
          <w:szCs w:val="24"/>
        </w:rPr>
        <w:t xml:space="preserve">, </w:t>
      </w:r>
      <w:r w:rsidR="001E4142" w:rsidRPr="00EF3776">
        <w:rPr>
          <w:rFonts w:ascii="Times New Roman" w:hAnsi="Times New Roman" w:cs="Times New Roman"/>
          <w:sz w:val="24"/>
          <w:szCs w:val="24"/>
        </w:rPr>
        <w:t>AS</w:t>
      </w:r>
      <w:r w:rsidR="002736DF">
        <w:rPr>
          <w:rFonts w:ascii="Times New Roman" w:hAnsi="Times New Roman" w:cs="Times New Roman"/>
          <w:sz w:val="24"/>
          <w:szCs w:val="24"/>
        </w:rPr>
        <w:t>)</w:t>
      </w:r>
      <w:r w:rsidR="00915210" w:rsidRPr="00EF3776">
        <w:rPr>
          <w:rFonts w:ascii="Times New Roman" w:hAnsi="Times New Roman" w:cs="Times New Roman"/>
          <w:sz w:val="24"/>
          <w:szCs w:val="24"/>
        </w:rPr>
        <w:t xml:space="preserve"> and </w:t>
      </w:r>
      <w:r w:rsidR="00264DAD" w:rsidRPr="00EF3776">
        <w:rPr>
          <w:rFonts w:ascii="Times New Roman" w:hAnsi="Times New Roman" w:cs="Times New Roman"/>
          <w:sz w:val="24"/>
          <w:szCs w:val="24"/>
        </w:rPr>
        <w:t>Inflammatory Bowel Disease (</w:t>
      </w:r>
      <w:r w:rsidR="001E4142" w:rsidRPr="00EF3776">
        <w:rPr>
          <w:rFonts w:ascii="Times New Roman" w:hAnsi="Times New Roman" w:cs="Times New Roman"/>
          <w:sz w:val="24"/>
          <w:szCs w:val="24"/>
        </w:rPr>
        <w:t>IBD</w:t>
      </w:r>
      <w:r w:rsidR="00264DAD" w:rsidRPr="00EF3776">
        <w:rPr>
          <w:rFonts w:ascii="Times New Roman" w:hAnsi="Times New Roman" w:cs="Times New Roman"/>
          <w:sz w:val="24"/>
          <w:szCs w:val="24"/>
        </w:rPr>
        <w:t>)</w:t>
      </w:r>
      <w:r w:rsidR="001E4142" w:rsidRPr="00EF3776">
        <w:rPr>
          <w:rFonts w:ascii="Times New Roman" w:hAnsi="Times New Roman" w:cs="Times New Roman"/>
          <w:sz w:val="24"/>
          <w:szCs w:val="24"/>
        </w:rPr>
        <w:t xml:space="preserve"> </w:t>
      </w:r>
      <w:r w:rsidR="00E87139">
        <w:rPr>
          <w:rFonts w:ascii="Times New Roman" w:hAnsi="Times New Roman" w:cs="Times New Roman"/>
          <w:sz w:val="24"/>
          <w:szCs w:val="24"/>
        </w:rPr>
        <w:t>(</w:t>
      </w:r>
      <w:r w:rsidR="00E87139" w:rsidRPr="00EF3776">
        <w:rPr>
          <w:rFonts w:ascii="Times New Roman" w:hAnsi="Times New Roman" w:cs="Times New Roman"/>
          <w:sz w:val="24"/>
          <w:szCs w:val="24"/>
        </w:rPr>
        <w:t>Crohn's disease</w:t>
      </w:r>
      <w:r w:rsidR="002736DF">
        <w:rPr>
          <w:rFonts w:ascii="Times New Roman" w:hAnsi="Times New Roman" w:cs="Times New Roman"/>
          <w:sz w:val="24"/>
          <w:szCs w:val="24"/>
        </w:rPr>
        <w:t xml:space="preserve">, </w:t>
      </w:r>
      <w:r w:rsidR="00E87139" w:rsidRPr="00EF3776">
        <w:rPr>
          <w:rFonts w:ascii="Times New Roman" w:hAnsi="Times New Roman" w:cs="Times New Roman"/>
          <w:sz w:val="24"/>
          <w:szCs w:val="24"/>
        </w:rPr>
        <w:t>CD</w:t>
      </w:r>
      <w:r w:rsidR="002736DF">
        <w:rPr>
          <w:rFonts w:ascii="Times New Roman" w:hAnsi="Times New Roman" w:cs="Times New Roman"/>
          <w:sz w:val="24"/>
          <w:szCs w:val="24"/>
        </w:rPr>
        <w:t>,</w:t>
      </w:r>
      <w:r w:rsidR="00E87139" w:rsidRPr="00EF3776">
        <w:rPr>
          <w:rFonts w:ascii="Times New Roman" w:hAnsi="Times New Roman" w:cs="Times New Roman"/>
          <w:sz w:val="24"/>
          <w:szCs w:val="24"/>
        </w:rPr>
        <w:t xml:space="preserve"> </w:t>
      </w:r>
      <w:r w:rsidR="00E87139">
        <w:rPr>
          <w:rFonts w:ascii="Times New Roman" w:hAnsi="Times New Roman" w:cs="Times New Roman"/>
          <w:sz w:val="24"/>
          <w:szCs w:val="24"/>
        </w:rPr>
        <w:t>and</w:t>
      </w:r>
      <w:r w:rsidR="00E87139" w:rsidRPr="00EF3776">
        <w:rPr>
          <w:rFonts w:ascii="Times New Roman" w:hAnsi="Times New Roman" w:cs="Times New Roman"/>
          <w:sz w:val="24"/>
          <w:szCs w:val="24"/>
        </w:rPr>
        <w:t xml:space="preserve"> Ulcerative Colitis</w:t>
      </w:r>
      <w:r w:rsidR="002736DF">
        <w:rPr>
          <w:rFonts w:ascii="Times New Roman" w:hAnsi="Times New Roman" w:cs="Times New Roman"/>
          <w:sz w:val="24"/>
          <w:szCs w:val="24"/>
        </w:rPr>
        <w:t xml:space="preserve">, </w:t>
      </w:r>
      <w:r w:rsidR="00E87139" w:rsidRPr="00EF3776">
        <w:rPr>
          <w:rFonts w:ascii="Times New Roman" w:hAnsi="Times New Roman" w:cs="Times New Roman"/>
          <w:sz w:val="24"/>
          <w:szCs w:val="24"/>
        </w:rPr>
        <w:t>UC)</w:t>
      </w:r>
      <w:r w:rsidRPr="00EF3776">
        <w:rPr>
          <w:rFonts w:ascii="Times New Roman" w:hAnsi="Times New Roman" w:cs="Times New Roman"/>
          <w:sz w:val="24"/>
          <w:szCs w:val="24"/>
        </w:rPr>
        <w:t xml:space="preserve">. </w:t>
      </w:r>
      <w:r w:rsidR="00EC5A8E" w:rsidRPr="00EF3776">
        <w:rPr>
          <w:rFonts w:ascii="Times New Roman" w:hAnsi="Times New Roman" w:cs="Times New Roman"/>
          <w:sz w:val="24"/>
          <w:szCs w:val="24"/>
        </w:rPr>
        <w:t>Cohort members</w:t>
      </w:r>
      <w:r w:rsidR="00915210" w:rsidRPr="00EF3776">
        <w:rPr>
          <w:rFonts w:ascii="Times New Roman" w:hAnsi="Times New Roman" w:cs="Times New Roman"/>
          <w:sz w:val="24"/>
          <w:szCs w:val="24"/>
        </w:rPr>
        <w:t xml:space="preserve"> eligible for</w:t>
      </w:r>
      <w:r w:rsidRPr="00EF3776">
        <w:rPr>
          <w:rFonts w:ascii="Times New Roman" w:hAnsi="Times New Roman" w:cs="Times New Roman"/>
          <w:sz w:val="24"/>
          <w:szCs w:val="24"/>
        </w:rPr>
        <w:t xml:space="preserve"> </w:t>
      </w:r>
      <w:r w:rsidR="006D2B9C">
        <w:rPr>
          <w:rFonts w:ascii="Times New Roman" w:hAnsi="Times New Roman" w:cs="Times New Roman"/>
          <w:sz w:val="24"/>
          <w:szCs w:val="24"/>
        </w:rPr>
        <w:t>our</w:t>
      </w:r>
      <w:r w:rsidRPr="00EF3776">
        <w:rPr>
          <w:rFonts w:ascii="Times New Roman" w:hAnsi="Times New Roman" w:cs="Times New Roman"/>
          <w:sz w:val="24"/>
          <w:szCs w:val="24"/>
        </w:rPr>
        <w:t xml:space="preserve"> study are </w:t>
      </w:r>
      <w:r w:rsidR="006D2B9C">
        <w:rPr>
          <w:rFonts w:ascii="Times New Roman" w:hAnsi="Times New Roman" w:cs="Times New Roman"/>
          <w:sz w:val="24"/>
          <w:szCs w:val="24"/>
        </w:rPr>
        <w:t xml:space="preserve">patients </w:t>
      </w:r>
      <w:r w:rsidR="00D3556D">
        <w:rPr>
          <w:rFonts w:ascii="Times New Roman" w:hAnsi="Times New Roman" w:cs="Times New Roman"/>
          <w:sz w:val="24"/>
          <w:szCs w:val="24"/>
        </w:rPr>
        <w:t>starting</w:t>
      </w:r>
      <w:r w:rsidR="00915210" w:rsidRPr="00EF3776">
        <w:rPr>
          <w:rFonts w:ascii="Times New Roman" w:hAnsi="Times New Roman" w:cs="Times New Roman"/>
          <w:sz w:val="24"/>
          <w:szCs w:val="24"/>
        </w:rPr>
        <w:t xml:space="preserve"> treatment with </w:t>
      </w:r>
      <w:r w:rsidR="00C73F91">
        <w:rPr>
          <w:rFonts w:ascii="Times New Roman" w:hAnsi="Times New Roman" w:cs="Times New Roman"/>
          <w:sz w:val="24"/>
          <w:szCs w:val="24"/>
        </w:rPr>
        <w:t>any biosimilar</w:t>
      </w:r>
      <w:r w:rsidR="00915210" w:rsidRPr="00EF3776">
        <w:rPr>
          <w:rFonts w:ascii="Times New Roman" w:hAnsi="Times New Roman" w:cs="Times New Roman"/>
          <w:sz w:val="24"/>
          <w:szCs w:val="24"/>
        </w:rPr>
        <w:t xml:space="preserve"> </w:t>
      </w:r>
      <w:r w:rsidR="00915210" w:rsidRPr="00532FD6">
        <w:rPr>
          <w:rFonts w:ascii="Times New Roman" w:hAnsi="Times New Roman" w:cs="Times New Roman"/>
          <w:sz w:val="24"/>
          <w:szCs w:val="24"/>
        </w:rPr>
        <w:t xml:space="preserve">or </w:t>
      </w:r>
      <w:r w:rsidR="00D34922">
        <w:rPr>
          <w:rFonts w:ascii="Times New Roman" w:hAnsi="Times New Roman" w:cs="Times New Roman"/>
          <w:sz w:val="24"/>
          <w:szCs w:val="24"/>
        </w:rPr>
        <w:t>any</w:t>
      </w:r>
      <w:r w:rsidR="00C73F91">
        <w:rPr>
          <w:rFonts w:ascii="Times New Roman" w:hAnsi="Times New Roman" w:cs="Times New Roman"/>
          <w:sz w:val="24"/>
          <w:szCs w:val="24"/>
        </w:rPr>
        <w:t xml:space="preserve"> legacy drug</w:t>
      </w:r>
      <w:r w:rsidR="00915210" w:rsidRPr="00532FD6">
        <w:rPr>
          <w:rFonts w:ascii="Times New Roman" w:hAnsi="Times New Roman" w:cs="Times New Roman"/>
          <w:sz w:val="24"/>
          <w:szCs w:val="24"/>
        </w:rPr>
        <w:t>.</w:t>
      </w:r>
      <w:r w:rsidR="007B7AF1" w:rsidRPr="00532FD6">
        <w:rPr>
          <w:rFonts w:ascii="Times New Roman" w:hAnsi="Times New Roman" w:cs="Times New Roman"/>
          <w:sz w:val="24"/>
          <w:szCs w:val="24"/>
        </w:rPr>
        <w:t xml:space="preserve"> </w:t>
      </w:r>
      <w:r w:rsidR="00F72C08" w:rsidRPr="00532FD6">
        <w:rPr>
          <w:rFonts w:ascii="Times New Roman" w:hAnsi="Times New Roman" w:cs="Times New Roman"/>
          <w:sz w:val="24"/>
          <w:szCs w:val="24"/>
        </w:rPr>
        <w:t xml:space="preserve">Patients </w:t>
      </w:r>
      <w:r w:rsidR="0089197D" w:rsidRPr="00532FD6">
        <w:rPr>
          <w:rFonts w:ascii="Times New Roman" w:hAnsi="Times New Roman" w:cs="Times New Roman"/>
          <w:sz w:val="24"/>
          <w:szCs w:val="24"/>
        </w:rPr>
        <w:t>will</w:t>
      </w:r>
      <w:r w:rsidR="00F72C08" w:rsidRPr="00532FD6">
        <w:rPr>
          <w:rFonts w:ascii="Times New Roman" w:hAnsi="Times New Roman" w:cs="Times New Roman"/>
          <w:sz w:val="24"/>
          <w:szCs w:val="24"/>
        </w:rPr>
        <w:t xml:space="preserve"> be enrolled over an approximate 24 month-period and the follow-up period will be up to </w:t>
      </w:r>
      <w:r w:rsidR="00283EDA" w:rsidRPr="00532FD6">
        <w:rPr>
          <w:rFonts w:ascii="Times New Roman" w:hAnsi="Times New Roman" w:cs="Times New Roman"/>
          <w:sz w:val="24"/>
          <w:szCs w:val="24"/>
        </w:rPr>
        <w:t>four and a half years</w:t>
      </w:r>
      <w:r w:rsidR="00F72C08" w:rsidRPr="00532FD6">
        <w:rPr>
          <w:rFonts w:ascii="Times New Roman" w:hAnsi="Times New Roman" w:cs="Times New Roman"/>
          <w:sz w:val="24"/>
          <w:szCs w:val="24"/>
        </w:rPr>
        <w:t>.</w:t>
      </w:r>
      <w:r w:rsidR="004F737A" w:rsidRPr="004F737A">
        <w:rPr>
          <w:rFonts w:ascii="Times New Roman" w:hAnsi="Times New Roman" w:cs="Times New Roman"/>
          <w:sz w:val="24"/>
          <w:szCs w:val="24"/>
        </w:rPr>
        <w:t xml:space="preserve"> </w:t>
      </w:r>
      <w:r w:rsidR="004F737A">
        <w:rPr>
          <w:rFonts w:ascii="Times New Roman" w:hAnsi="Times New Roman" w:cs="Times New Roman"/>
          <w:sz w:val="24"/>
          <w:szCs w:val="24"/>
        </w:rPr>
        <w:t>A brief description</w:t>
      </w:r>
      <w:r w:rsidR="004F737A" w:rsidRPr="00E5452A">
        <w:rPr>
          <w:rFonts w:ascii="Times New Roman" w:hAnsi="Times New Roman" w:cs="Times New Roman"/>
          <w:sz w:val="24"/>
          <w:szCs w:val="24"/>
        </w:rPr>
        <w:t xml:space="preserve"> of these </w:t>
      </w:r>
      <w:r w:rsidR="004F737A">
        <w:rPr>
          <w:rFonts w:ascii="Times New Roman" w:hAnsi="Times New Roman" w:cs="Times New Roman"/>
          <w:sz w:val="24"/>
          <w:szCs w:val="24"/>
        </w:rPr>
        <w:t>cohorts</w:t>
      </w:r>
      <w:r w:rsidR="004F737A" w:rsidRPr="00E5452A">
        <w:rPr>
          <w:rFonts w:ascii="Times New Roman" w:hAnsi="Times New Roman" w:cs="Times New Roman"/>
          <w:sz w:val="24"/>
          <w:szCs w:val="24"/>
        </w:rPr>
        <w:t xml:space="preserve"> </w:t>
      </w:r>
      <w:r w:rsidR="004F737A">
        <w:rPr>
          <w:rFonts w:ascii="Times New Roman" w:hAnsi="Times New Roman" w:cs="Times New Roman"/>
          <w:sz w:val="24"/>
          <w:szCs w:val="24"/>
        </w:rPr>
        <w:t>is presented in Appendix A</w:t>
      </w:r>
      <w:r w:rsidR="004F737A" w:rsidRPr="00E5452A">
        <w:rPr>
          <w:rFonts w:ascii="Times New Roman" w:hAnsi="Times New Roman" w:cs="Times New Roman"/>
          <w:sz w:val="24"/>
          <w:szCs w:val="24"/>
        </w:rPr>
        <w:t>.</w:t>
      </w:r>
    </w:p>
    <w:p w:rsidR="0089197D" w:rsidRPr="00EF3776" w:rsidRDefault="001E4142" w:rsidP="002F4A00">
      <w:pPr>
        <w:spacing w:after="120" w:line="240" w:lineRule="auto"/>
        <w:jc w:val="both"/>
        <w:rPr>
          <w:rFonts w:ascii="Times New Roman" w:hAnsi="Times New Roman" w:cs="Times New Roman"/>
          <w:i/>
          <w:sz w:val="24"/>
          <w:szCs w:val="24"/>
        </w:rPr>
      </w:pPr>
      <w:r w:rsidRPr="00EF3776">
        <w:rPr>
          <w:rFonts w:ascii="Times New Roman" w:hAnsi="Times New Roman" w:cs="Times New Roman"/>
          <w:i/>
          <w:sz w:val="24"/>
          <w:szCs w:val="24"/>
        </w:rPr>
        <w:t>Inclusion/exclusion</w:t>
      </w:r>
      <w:r w:rsidR="0089197D" w:rsidRPr="00EF3776">
        <w:rPr>
          <w:rFonts w:ascii="Times New Roman" w:hAnsi="Times New Roman" w:cs="Times New Roman"/>
          <w:i/>
          <w:sz w:val="24"/>
          <w:szCs w:val="24"/>
        </w:rPr>
        <w:t xml:space="preserve"> criteria</w:t>
      </w:r>
    </w:p>
    <w:p w:rsidR="004C625F" w:rsidRDefault="00E467FB" w:rsidP="0032384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Our</w:t>
      </w:r>
      <w:r w:rsidRPr="00EF3776">
        <w:rPr>
          <w:rFonts w:ascii="Times New Roman" w:hAnsi="Times New Roman" w:cs="Times New Roman"/>
          <w:sz w:val="24"/>
          <w:szCs w:val="24"/>
        </w:rPr>
        <w:t xml:space="preserve"> </w:t>
      </w:r>
      <w:r w:rsidR="00D86011" w:rsidRPr="00EF3776">
        <w:rPr>
          <w:rFonts w:ascii="Times New Roman" w:hAnsi="Times New Roman" w:cs="Times New Roman"/>
          <w:sz w:val="24"/>
          <w:szCs w:val="24"/>
        </w:rPr>
        <w:t xml:space="preserve">study will include </w:t>
      </w:r>
      <w:r>
        <w:rPr>
          <w:rFonts w:ascii="Times New Roman" w:hAnsi="Times New Roman" w:cs="Times New Roman"/>
          <w:sz w:val="24"/>
          <w:szCs w:val="24"/>
        </w:rPr>
        <w:t>cohort members</w:t>
      </w:r>
      <w:r w:rsidRPr="00EF3776">
        <w:rPr>
          <w:rFonts w:ascii="Times New Roman" w:hAnsi="Times New Roman" w:cs="Times New Roman"/>
          <w:sz w:val="24"/>
          <w:szCs w:val="24"/>
        </w:rPr>
        <w:t xml:space="preserve"> </w:t>
      </w:r>
      <w:r w:rsidR="00D63110" w:rsidRPr="00EF3776">
        <w:rPr>
          <w:rFonts w:ascii="Times New Roman" w:hAnsi="Times New Roman" w:cs="Times New Roman"/>
          <w:sz w:val="24"/>
          <w:szCs w:val="24"/>
        </w:rPr>
        <w:t xml:space="preserve">from both sexes, </w:t>
      </w:r>
      <w:r w:rsidR="0089197D" w:rsidRPr="00EF3776">
        <w:rPr>
          <w:rFonts w:ascii="Times New Roman" w:hAnsi="Times New Roman" w:cs="Times New Roman"/>
          <w:sz w:val="24"/>
          <w:szCs w:val="24"/>
        </w:rPr>
        <w:t>18 years and older</w:t>
      </w:r>
      <w:r w:rsidR="00D86011" w:rsidRPr="00EF3776">
        <w:rPr>
          <w:rFonts w:ascii="Times New Roman" w:hAnsi="Times New Roman" w:cs="Times New Roman"/>
          <w:sz w:val="24"/>
          <w:szCs w:val="24"/>
        </w:rPr>
        <w:t>, w</w:t>
      </w:r>
      <w:r w:rsidR="00ED2773" w:rsidRPr="00EF3776">
        <w:rPr>
          <w:rFonts w:ascii="Times New Roman" w:hAnsi="Times New Roman" w:cs="Times New Roman"/>
          <w:sz w:val="24"/>
          <w:szCs w:val="24"/>
        </w:rPr>
        <w:t xml:space="preserve">ith a clinical diagnosis of </w:t>
      </w:r>
      <w:r w:rsidR="0000681B">
        <w:rPr>
          <w:rFonts w:ascii="Times New Roman" w:hAnsi="Times New Roman" w:cs="Times New Roman"/>
          <w:sz w:val="24"/>
          <w:szCs w:val="24"/>
        </w:rPr>
        <w:t xml:space="preserve">inflammatory rheumatic disease (either </w:t>
      </w:r>
      <w:r w:rsidR="00ED2773" w:rsidRPr="00EF3776">
        <w:rPr>
          <w:rFonts w:ascii="Times New Roman" w:hAnsi="Times New Roman" w:cs="Times New Roman"/>
          <w:sz w:val="24"/>
          <w:szCs w:val="24"/>
        </w:rPr>
        <w:t>RA</w:t>
      </w:r>
      <w:r w:rsidR="0000681B">
        <w:rPr>
          <w:rFonts w:ascii="Times New Roman" w:hAnsi="Times New Roman" w:cs="Times New Roman"/>
          <w:sz w:val="24"/>
          <w:szCs w:val="24"/>
        </w:rPr>
        <w:t xml:space="preserve"> or</w:t>
      </w:r>
      <w:r w:rsidR="00D86011" w:rsidRPr="00EF3776">
        <w:rPr>
          <w:rFonts w:ascii="Times New Roman" w:hAnsi="Times New Roman" w:cs="Times New Roman"/>
          <w:sz w:val="24"/>
          <w:szCs w:val="24"/>
        </w:rPr>
        <w:t xml:space="preserve"> AS</w:t>
      </w:r>
      <w:r w:rsidR="0000681B">
        <w:rPr>
          <w:rFonts w:ascii="Times New Roman" w:hAnsi="Times New Roman" w:cs="Times New Roman"/>
          <w:sz w:val="24"/>
          <w:szCs w:val="24"/>
        </w:rPr>
        <w:t>)</w:t>
      </w:r>
      <w:r w:rsidR="00D86011" w:rsidRPr="00EF3776">
        <w:rPr>
          <w:rFonts w:ascii="Times New Roman" w:hAnsi="Times New Roman" w:cs="Times New Roman"/>
          <w:sz w:val="24"/>
          <w:szCs w:val="24"/>
        </w:rPr>
        <w:t>, or IBD</w:t>
      </w:r>
      <w:r w:rsidR="00FB6AE5">
        <w:rPr>
          <w:rFonts w:ascii="Times New Roman" w:hAnsi="Times New Roman" w:cs="Times New Roman"/>
          <w:sz w:val="24"/>
          <w:szCs w:val="24"/>
        </w:rPr>
        <w:t xml:space="preserve"> (C</w:t>
      </w:r>
      <w:r w:rsidR="00FA6771" w:rsidRPr="00EF3776">
        <w:rPr>
          <w:rFonts w:ascii="Times New Roman" w:hAnsi="Times New Roman" w:cs="Times New Roman"/>
          <w:sz w:val="24"/>
          <w:szCs w:val="24"/>
        </w:rPr>
        <w:t>D or UC</w:t>
      </w:r>
      <w:r w:rsidR="00FB6AE5">
        <w:rPr>
          <w:rFonts w:ascii="Times New Roman" w:hAnsi="Times New Roman" w:cs="Times New Roman"/>
          <w:sz w:val="24"/>
          <w:szCs w:val="24"/>
        </w:rPr>
        <w:t>)</w:t>
      </w:r>
      <w:r w:rsidR="0067589C" w:rsidRPr="00EF3776">
        <w:rPr>
          <w:rFonts w:ascii="Times New Roman" w:hAnsi="Times New Roman" w:cs="Times New Roman"/>
          <w:sz w:val="24"/>
          <w:szCs w:val="24"/>
        </w:rPr>
        <w:t xml:space="preserve"> </w:t>
      </w:r>
      <w:r w:rsidR="00E53021" w:rsidRPr="00EF3776">
        <w:rPr>
          <w:rFonts w:ascii="Times New Roman" w:hAnsi="Times New Roman" w:cs="Times New Roman"/>
          <w:sz w:val="24"/>
          <w:szCs w:val="24"/>
        </w:rPr>
        <w:t xml:space="preserve">who have given their </w:t>
      </w:r>
      <w:r w:rsidR="007B7AF1" w:rsidRPr="00EF3776">
        <w:rPr>
          <w:rFonts w:ascii="Times New Roman" w:hAnsi="Times New Roman" w:cs="Times New Roman"/>
          <w:sz w:val="24"/>
          <w:szCs w:val="24"/>
        </w:rPr>
        <w:t>informed c</w:t>
      </w:r>
      <w:r w:rsidR="00E53021" w:rsidRPr="00EF3776">
        <w:rPr>
          <w:rFonts w:ascii="Times New Roman" w:hAnsi="Times New Roman" w:cs="Times New Roman"/>
          <w:sz w:val="24"/>
          <w:szCs w:val="24"/>
        </w:rPr>
        <w:t>onsent</w:t>
      </w:r>
      <w:r w:rsidR="007B7AF1" w:rsidRPr="00EF3776">
        <w:rPr>
          <w:rFonts w:ascii="Times New Roman" w:hAnsi="Times New Roman" w:cs="Times New Roman"/>
          <w:sz w:val="24"/>
          <w:szCs w:val="24"/>
        </w:rPr>
        <w:t xml:space="preserve">. </w:t>
      </w:r>
      <w:bookmarkStart w:id="2" w:name="_Hlk506974859"/>
      <w:r w:rsidR="00CE7E63">
        <w:rPr>
          <w:rFonts w:ascii="Times New Roman" w:hAnsi="Times New Roman" w:cs="Times New Roman"/>
          <w:sz w:val="24"/>
          <w:szCs w:val="24"/>
        </w:rPr>
        <w:t>There are no disease activity criteria for entry.</w:t>
      </w:r>
      <w:bookmarkEnd w:id="2"/>
      <w:r w:rsidR="00CE7E63">
        <w:rPr>
          <w:rFonts w:ascii="Times New Roman" w:hAnsi="Times New Roman" w:cs="Times New Roman"/>
          <w:sz w:val="24"/>
          <w:szCs w:val="24"/>
        </w:rPr>
        <w:t xml:space="preserve"> </w:t>
      </w:r>
      <w:r w:rsidR="003D3230">
        <w:rPr>
          <w:rFonts w:ascii="Times New Roman" w:hAnsi="Times New Roman" w:cs="Times New Roman"/>
          <w:sz w:val="24"/>
          <w:szCs w:val="24"/>
        </w:rPr>
        <w:t xml:space="preserve">We will include all patients starting </w:t>
      </w:r>
      <w:proofErr w:type="gramStart"/>
      <w:r w:rsidR="003D3230">
        <w:rPr>
          <w:rFonts w:ascii="Times New Roman" w:hAnsi="Times New Roman" w:cs="Times New Roman"/>
          <w:sz w:val="24"/>
          <w:szCs w:val="24"/>
        </w:rPr>
        <w:t>on/switching</w:t>
      </w:r>
      <w:proofErr w:type="gramEnd"/>
      <w:r w:rsidR="003D3230">
        <w:rPr>
          <w:rFonts w:ascii="Times New Roman" w:hAnsi="Times New Roman" w:cs="Times New Roman"/>
          <w:sz w:val="24"/>
          <w:szCs w:val="24"/>
        </w:rPr>
        <w:t xml:space="preserve"> to any </w:t>
      </w:r>
      <w:proofErr w:type="spellStart"/>
      <w:r w:rsidR="003D3230">
        <w:rPr>
          <w:rFonts w:ascii="Times New Roman" w:hAnsi="Times New Roman" w:cs="Times New Roman"/>
          <w:sz w:val="24"/>
          <w:szCs w:val="24"/>
        </w:rPr>
        <w:t>biosimilar</w:t>
      </w:r>
      <w:proofErr w:type="spellEnd"/>
      <w:r w:rsidR="003D3230">
        <w:rPr>
          <w:rFonts w:ascii="Times New Roman" w:hAnsi="Times New Roman" w:cs="Times New Roman"/>
          <w:sz w:val="24"/>
          <w:szCs w:val="24"/>
        </w:rPr>
        <w:t xml:space="preserve"> t</w:t>
      </w:r>
      <w:r w:rsidR="00C76778">
        <w:rPr>
          <w:rFonts w:ascii="Times New Roman" w:hAnsi="Times New Roman" w:cs="Times New Roman"/>
          <w:sz w:val="24"/>
          <w:szCs w:val="24"/>
        </w:rPr>
        <w:t>o</w:t>
      </w:r>
      <w:r w:rsidR="003D3230">
        <w:rPr>
          <w:rFonts w:ascii="Times New Roman" w:hAnsi="Times New Roman" w:cs="Times New Roman"/>
          <w:sz w:val="24"/>
          <w:szCs w:val="24"/>
        </w:rPr>
        <w:t xml:space="preserve"> its equivalent legacy drug, including: </w:t>
      </w:r>
    </w:p>
    <w:p w:rsidR="004C625F" w:rsidRPr="004C625F" w:rsidRDefault="004C625F" w:rsidP="004C625F">
      <w:pPr>
        <w:pStyle w:val="ListParagraph"/>
        <w:numPr>
          <w:ilvl w:val="0"/>
          <w:numId w:val="2"/>
        </w:numPr>
        <w:spacing w:after="120" w:line="240" w:lineRule="auto"/>
        <w:jc w:val="both"/>
        <w:rPr>
          <w:rFonts w:ascii="Times New Roman" w:eastAsia="Times New Roman" w:hAnsi="Times New Roman" w:cs="Times New Roman"/>
          <w:color w:val="000000"/>
          <w:sz w:val="24"/>
          <w:szCs w:val="24"/>
          <w:lang w:eastAsia="en-CA"/>
        </w:rPr>
      </w:pPr>
      <w:r w:rsidRPr="004C625F">
        <w:rPr>
          <w:rFonts w:ascii="Times New Roman" w:hAnsi="Times New Roman" w:cs="Times New Roman"/>
          <w:sz w:val="24"/>
          <w:szCs w:val="24"/>
        </w:rPr>
        <w:t xml:space="preserve">Biologic-naive, starting any </w:t>
      </w:r>
      <w:proofErr w:type="spellStart"/>
      <w:r w:rsidRPr="004C625F">
        <w:rPr>
          <w:rFonts w:ascii="Times New Roman" w:hAnsi="Times New Roman" w:cs="Times New Roman"/>
          <w:sz w:val="24"/>
          <w:szCs w:val="24"/>
        </w:rPr>
        <w:t>biosimilar</w:t>
      </w:r>
      <w:proofErr w:type="spellEnd"/>
      <w:r w:rsidRPr="004C625F">
        <w:rPr>
          <w:rFonts w:ascii="Times New Roman" w:hAnsi="Times New Roman" w:cs="Times New Roman"/>
          <w:sz w:val="24"/>
          <w:szCs w:val="24"/>
        </w:rPr>
        <w:t xml:space="preserve"> or its equivalent legacy drug</w:t>
      </w:r>
      <w:r w:rsidRPr="004C625F">
        <w:rPr>
          <w:rFonts w:ascii="Times New Roman" w:eastAsia="Times New Roman" w:hAnsi="Times New Roman" w:cs="Times New Roman"/>
          <w:color w:val="000000"/>
          <w:sz w:val="24"/>
          <w:szCs w:val="24"/>
          <w:lang w:eastAsia="en-CA"/>
        </w:rPr>
        <w:t>;</w:t>
      </w:r>
    </w:p>
    <w:p w:rsidR="00352BE1" w:rsidRPr="00EF3776" w:rsidRDefault="00D63110" w:rsidP="002F4A00">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en-CA"/>
        </w:rPr>
      </w:pPr>
      <w:r w:rsidRPr="00EF3776">
        <w:rPr>
          <w:rFonts w:ascii="Times New Roman" w:eastAsia="Times New Roman" w:hAnsi="Times New Roman" w:cs="Times New Roman"/>
          <w:color w:val="000000"/>
          <w:sz w:val="24"/>
          <w:szCs w:val="24"/>
          <w:lang w:eastAsia="en-CA"/>
        </w:rPr>
        <w:t xml:space="preserve">Patients switching to </w:t>
      </w:r>
      <w:r w:rsidR="00C73F91">
        <w:rPr>
          <w:rFonts w:ascii="Times New Roman" w:hAnsi="Times New Roman" w:cs="Times New Roman"/>
          <w:sz w:val="24"/>
          <w:szCs w:val="24"/>
        </w:rPr>
        <w:t>biosimilar</w:t>
      </w:r>
      <w:r w:rsidR="00C73F91" w:rsidRPr="00EF3776">
        <w:rPr>
          <w:rFonts w:ascii="Times New Roman" w:hAnsi="Times New Roman" w:cs="Times New Roman"/>
          <w:sz w:val="24"/>
          <w:szCs w:val="24"/>
        </w:rPr>
        <w:t xml:space="preserve"> or </w:t>
      </w:r>
      <w:r w:rsidR="00C73F91">
        <w:rPr>
          <w:rFonts w:ascii="Times New Roman" w:hAnsi="Times New Roman" w:cs="Times New Roman"/>
          <w:sz w:val="24"/>
          <w:szCs w:val="24"/>
        </w:rPr>
        <w:t>its equivalent legacy drug</w:t>
      </w:r>
      <w:r w:rsidR="00C73F91" w:rsidRPr="00EF3776" w:rsidDel="00C73F91">
        <w:rPr>
          <w:rFonts w:ascii="Times New Roman" w:eastAsia="Times New Roman" w:hAnsi="Times New Roman" w:cs="Times New Roman"/>
          <w:color w:val="000000"/>
          <w:sz w:val="24"/>
          <w:szCs w:val="24"/>
          <w:lang w:eastAsia="en-CA"/>
        </w:rPr>
        <w:t xml:space="preserve"> </w:t>
      </w:r>
      <w:r w:rsidRPr="00EF3776">
        <w:rPr>
          <w:rFonts w:ascii="Times New Roman" w:eastAsia="Times New Roman" w:hAnsi="Times New Roman" w:cs="Times New Roman"/>
          <w:color w:val="000000"/>
          <w:sz w:val="24"/>
          <w:szCs w:val="24"/>
          <w:lang w:eastAsia="en-CA"/>
        </w:rPr>
        <w:t>from an alternative biologic therapy;</w:t>
      </w:r>
    </w:p>
    <w:p w:rsidR="00D63110" w:rsidRPr="00EF3776" w:rsidRDefault="00BD61BA" w:rsidP="002F4A00">
      <w:pPr>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en-CA"/>
        </w:rPr>
      </w:pPr>
      <w:r w:rsidRPr="00EF3776">
        <w:rPr>
          <w:rFonts w:ascii="Times New Roman" w:eastAsia="Times New Roman" w:hAnsi="Times New Roman" w:cs="Times New Roman"/>
          <w:color w:val="000000"/>
          <w:sz w:val="24"/>
          <w:szCs w:val="24"/>
          <w:lang w:eastAsia="en-CA"/>
        </w:rPr>
        <w:t xml:space="preserve">Patients </w:t>
      </w:r>
      <w:r w:rsidR="00C73F91">
        <w:rPr>
          <w:rFonts w:ascii="Times New Roman" w:eastAsia="Times New Roman" w:hAnsi="Times New Roman" w:cs="Times New Roman"/>
          <w:color w:val="000000"/>
          <w:sz w:val="24"/>
          <w:szCs w:val="24"/>
          <w:lang w:eastAsia="en-CA"/>
        </w:rPr>
        <w:t xml:space="preserve">switching to a </w:t>
      </w:r>
      <w:r w:rsidR="00C73F91">
        <w:rPr>
          <w:rFonts w:ascii="Times New Roman" w:hAnsi="Times New Roman" w:cs="Times New Roman"/>
          <w:sz w:val="24"/>
          <w:szCs w:val="24"/>
        </w:rPr>
        <w:t xml:space="preserve">biosimilar (or </w:t>
      </w:r>
      <w:r w:rsidR="00D3556D">
        <w:rPr>
          <w:rFonts w:ascii="Times New Roman" w:eastAsia="Times New Roman" w:hAnsi="Times New Roman" w:cs="Times New Roman"/>
          <w:color w:val="000000"/>
          <w:sz w:val="24"/>
          <w:szCs w:val="24"/>
          <w:lang w:eastAsia="en-CA"/>
        </w:rPr>
        <w:t>starting</w:t>
      </w:r>
      <w:r w:rsidR="00C73F91">
        <w:rPr>
          <w:rFonts w:ascii="Times New Roman" w:eastAsia="Times New Roman" w:hAnsi="Times New Roman" w:cs="Times New Roman"/>
          <w:color w:val="000000"/>
          <w:sz w:val="24"/>
          <w:szCs w:val="24"/>
          <w:lang w:eastAsia="en-CA"/>
        </w:rPr>
        <w:t xml:space="preserve"> a new cycle with </w:t>
      </w:r>
      <w:r w:rsidR="00C73F91">
        <w:rPr>
          <w:rFonts w:ascii="Times New Roman" w:hAnsi="Times New Roman" w:cs="Times New Roman"/>
          <w:sz w:val="24"/>
          <w:szCs w:val="24"/>
        </w:rPr>
        <w:t>its equivalent legacy drug)</w:t>
      </w:r>
      <w:r w:rsidR="00C73F91">
        <w:rPr>
          <w:rFonts w:ascii="Times New Roman" w:eastAsia="Times New Roman" w:hAnsi="Times New Roman" w:cs="Times New Roman"/>
          <w:color w:val="000000"/>
          <w:sz w:val="24"/>
          <w:szCs w:val="24"/>
          <w:lang w:eastAsia="en-CA"/>
        </w:rPr>
        <w:t xml:space="preserve"> </w:t>
      </w:r>
      <w:r w:rsidRPr="00EF3776">
        <w:rPr>
          <w:rFonts w:ascii="Times New Roman" w:eastAsia="Times New Roman" w:hAnsi="Times New Roman" w:cs="Times New Roman"/>
          <w:color w:val="000000"/>
          <w:sz w:val="24"/>
          <w:szCs w:val="24"/>
          <w:lang w:eastAsia="en-CA"/>
        </w:rPr>
        <w:t xml:space="preserve">who have successfully completed and exited a previous course of therapy </w:t>
      </w:r>
      <w:r w:rsidR="00C73F91">
        <w:rPr>
          <w:rFonts w:ascii="Times New Roman" w:eastAsia="Times New Roman" w:hAnsi="Times New Roman" w:cs="Times New Roman"/>
          <w:color w:val="000000"/>
          <w:sz w:val="24"/>
          <w:szCs w:val="24"/>
          <w:lang w:eastAsia="en-CA"/>
        </w:rPr>
        <w:t>with the equivalent legacy drug</w:t>
      </w:r>
      <w:r w:rsidRPr="00EF3776">
        <w:rPr>
          <w:rFonts w:ascii="Times New Roman" w:eastAsia="Times New Roman" w:hAnsi="Times New Roman" w:cs="Times New Roman"/>
          <w:color w:val="000000"/>
          <w:sz w:val="24"/>
          <w:szCs w:val="24"/>
          <w:lang w:eastAsia="en-CA"/>
        </w:rPr>
        <w:t xml:space="preserve">. </w:t>
      </w:r>
    </w:p>
    <w:p w:rsidR="00E53021" w:rsidRPr="00532FD6" w:rsidRDefault="00E53021" w:rsidP="002F4A00">
      <w:pPr>
        <w:spacing w:after="120" w:line="240" w:lineRule="auto"/>
        <w:jc w:val="both"/>
        <w:rPr>
          <w:rFonts w:ascii="Times New Roman" w:hAnsi="Times New Roman" w:cs="Times New Roman"/>
          <w:i/>
          <w:sz w:val="24"/>
          <w:szCs w:val="24"/>
        </w:rPr>
      </w:pPr>
      <w:r w:rsidRPr="00EF3776">
        <w:rPr>
          <w:rFonts w:ascii="Times New Roman" w:hAnsi="Times New Roman" w:cs="Times New Roman"/>
          <w:i/>
          <w:sz w:val="24"/>
          <w:szCs w:val="24"/>
        </w:rPr>
        <w:t>Follow-up</w:t>
      </w:r>
    </w:p>
    <w:p w:rsidR="00B44A62" w:rsidRDefault="00576D17">
      <w:pPr>
        <w:pStyle w:val="CommentText"/>
        <w:jc w:val="both"/>
      </w:pPr>
      <w:r w:rsidRPr="00532FD6">
        <w:rPr>
          <w:rFonts w:ascii="Times New Roman" w:hAnsi="Times New Roman" w:cs="Times New Roman"/>
          <w:sz w:val="24"/>
          <w:szCs w:val="24"/>
        </w:rPr>
        <w:t>P</w:t>
      </w:r>
      <w:r w:rsidR="0067589C" w:rsidRPr="00532FD6">
        <w:rPr>
          <w:rFonts w:ascii="Times New Roman" w:hAnsi="Times New Roman" w:cs="Times New Roman"/>
          <w:sz w:val="24"/>
          <w:szCs w:val="24"/>
        </w:rPr>
        <w:t xml:space="preserve">atients </w:t>
      </w:r>
      <w:r w:rsidR="0072183D" w:rsidRPr="00532FD6">
        <w:rPr>
          <w:rFonts w:ascii="Times New Roman" w:hAnsi="Times New Roman" w:cs="Times New Roman"/>
          <w:sz w:val="24"/>
          <w:szCs w:val="24"/>
        </w:rPr>
        <w:t>will</w:t>
      </w:r>
      <w:r w:rsidR="0067589C" w:rsidRPr="00532FD6">
        <w:rPr>
          <w:rFonts w:ascii="Times New Roman" w:hAnsi="Times New Roman" w:cs="Times New Roman"/>
          <w:sz w:val="24"/>
          <w:szCs w:val="24"/>
        </w:rPr>
        <w:t xml:space="preserve"> </w:t>
      </w:r>
      <w:r w:rsidRPr="00532FD6">
        <w:rPr>
          <w:rFonts w:ascii="Times New Roman" w:hAnsi="Times New Roman" w:cs="Times New Roman"/>
          <w:sz w:val="24"/>
          <w:szCs w:val="24"/>
        </w:rPr>
        <w:t xml:space="preserve">be </w:t>
      </w:r>
      <w:r w:rsidR="0067589C" w:rsidRPr="00532FD6">
        <w:rPr>
          <w:rFonts w:ascii="Times New Roman" w:hAnsi="Times New Roman" w:cs="Times New Roman"/>
          <w:sz w:val="24"/>
          <w:szCs w:val="24"/>
        </w:rPr>
        <w:t xml:space="preserve">followed </w:t>
      </w:r>
      <w:r w:rsidR="00FB07D3" w:rsidRPr="00532FD6">
        <w:rPr>
          <w:rFonts w:ascii="Times New Roman" w:hAnsi="Times New Roman" w:cs="Times New Roman"/>
          <w:sz w:val="24"/>
          <w:szCs w:val="24"/>
        </w:rPr>
        <w:t>f</w:t>
      </w:r>
      <w:r w:rsidR="00B80589" w:rsidRPr="00532FD6">
        <w:rPr>
          <w:rFonts w:ascii="Times New Roman" w:hAnsi="Times New Roman" w:cs="Times New Roman"/>
          <w:sz w:val="24"/>
          <w:szCs w:val="24"/>
        </w:rPr>
        <w:t>or a maximum period of f</w:t>
      </w:r>
      <w:r w:rsidR="00FB07D3" w:rsidRPr="00532FD6">
        <w:rPr>
          <w:rFonts w:ascii="Times New Roman" w:hAnsi="Times New Roman" w:cs="Times New Roman"/>
          <w:sz w:val="24"/>
          <w:szCs w:val="24"/>
        </w:rPr>
        <w:t>our</w:t>
      </w:r>
      <w:r w:rsidR="0067589C" w:rsidRPr="00532FD6">
        <w:rPr>
          <w:rFonts w:ascii="Times New Roman" w:hAnsi="Times New Roman" w:cs="Times New Roman"/>
          <w:sz w:val="24"/>
          <w:szCs w:val="24"/>
        </w:rPr>
        <w:t xml:space="preserve"> </w:t>
      </w:r>
      <w:r w:rsidR="00283EDA" w:rsidRPr="00532FD6">
        <w:rPr>
          <w:rFonts w:ascii="Times New Roman" w:hAnsi="Times New Roman" w:cs="Times New Roman"/>
          <w:sz w:val="24"/>
          <w:szCs w:val="24"/>
        </w:rPr>
        <w:t xml:space="preserve">and a half </w:t>
      </w:r>
      <w:r w:rsidR="0067589C" w:rsidRPr="00532FD6">
        <w:rPr>
          <w:rFonts w:ascii="Times New Roman" w:hAnsi="Times New Roman" w:cs="Times New Roman"/>
          <w:sz w:val="24"/>
          <w:szCs w:val="24"/>
        </w:rPr>
        <w:t>years</w:t>
      </w:r>
      <w:r w:rsidR="00020770" w:rsidRPr="00532FD6">
        <w:rPr>
          <w:rFonts w:ascii="Times New Roman" w:hAnsi="Times New Roman" w:cs="Times New Roman"/>
          <w:sz w:val="24"/>
          <w:szCs w:val="24"/>
        </w:rPr>
        <w:t xml:space="preserve"> </w:t>
      </w:r>
      <w:bookmarkStart w:id="3" w:name="_Hlk512341467"/>
      <w:r w:rsidR="00E467FB">
        <w:rPr>
          <w:rFonts w:ascii="Times New Roman" w:hAnsi="Times New Roman" w:cs="Times New Roman"/>
          <w:sz w:val="24"/>
          <w:szCs w:val="24"/>
        </w:rPr>
        <w:t>for our study</w:t>
      </w:r>
      <w:r w:rsidR="006D2B9C">
        <w:rPr>
          <w:rFonts w:ascii="Times New Roman" w:hAnsi="Times New Roman" w:cs="Times New Roman"/>
          <w:sz w:val="24"/>
          <w:szCs w:val="24"/>
        </w:rPr>
        <w:t xml:space="preserve"> including</w:t>
      </w:r>
      <w:r w:rsidR="006D2B9C" w:rsidRPr="00532FD6">
        <w:rPr>
          <w:rFonts w:ascii="Times New Roman" w:hAnsi="Times New Roman" w:cs="Times New Roman"/>
          <w:sz w:val="24"/>
          <w:szCs w:val="24"/>
        </w:rPr>
        <w:t xml:space="preserve"> </w:t>
      </w:r>
      <w:r w:rsidR="0067589C" w:rsidRPr="00532FD6">
        <w:rPr>
          <w:rFonts w:ascii="Times New Roman" w:hAnsi="Times New Roman" w:cs="Times New Roman"/>
          <w:sz w:val="24"/>
          <w:szCs w:val="24"/>
        </w:rPr>
        <w:t xml:space="preserve">patients who permanently discontinue </w:t>
      </w:r>
      <w:r w:rsidR="00FA106E">
        <w:rPr>
          <w:rFonts w:ascii="Times New Roman" w:hAnsi="Times New Roman" w:cs="Times New Roman"/>
          <w:sz w:val="24"/>
          <w:szCs w:val="24"/>
        </w:rPr>
        <w:t xml:space="preserve">the biosimilar </w:t>
      </w:r>
      <w:r w:rsidR="0067589C" w:rsidRPr="00532FD6">
        <w:rPr>
          <w:rFonts w:ascii="Times New Roman" w:hAnsi="Times New Roman" w:cs="Times New Roman"/>
          <w:sz w:val="24"/>
          <w:szCs w:val="24"/>
        </w:rPr>
        <w:t xml:space="preserve">or </w:t>
      </w:r>
      <w:r w:rsidR="00FA106E">
        <w:rPr>
          <w:rFonts w:ascii="Times New Roman" w:hAnsi="Times New Roman" w:cs="Times New Roman"/>
          <w:sz w:val="24"/>
          <w:szCs w:val="24"/>
        </w:rPr>
        <w:t xml:space="preserve">its </w:t>
      </w:r>
      <w:r w:rsidR="00FA106E">
        <w:rPr>
          <w:rFonts w:ascii="Times New Roman" w:eastAsia="Times New Roman" w:hAnsi="Times New Roman" w:cs="Times New Roman"/>
          <w:color w:val="000000"/>
          <w:sz w:val="24"/>
          <w:szCs w:val="24"/>
          <w:lang w:eastAsia="en-CA"/>
        </w:rPr>
        <w:t>equivalent legacy drug</w:t>
      </w:r>
      <w:r w:rsidR="0067589C" w:rsidRPr="00532FD6">
        <w:rPr>
          <w:rFonts w:ascii="Times New Roman" w:hAnsi="Times New Roman" w:cs="Times New Roman"/>
          <w:sz w:val="24"/>
          <w:szCs w:val="24"/>
        </w:rPr>
        <w:t xml:space="preserve"> treatment</w:t>
      </w:r>
      <w:bookmarkEnd w:id="3"/>
      <w:r w:rsidR="0067589C" w:rsidRPr="00532FD6">
        <w:rPr>
          <w:rFonts w:ascii="Times New Roman" w:hAnsi="Times New Roman" w:cs="Times New Roman"/>
          <w:sz w:val="24"/>
          <w:szCs w:val="24"/>
        </w:rPr>
        <w:t xml:space="preserve">. </w:t>
      </w:r>
      <w:r w:rsidRPr="00532FD6">
        <w:rPr>
          <w:rFonts w:ascii="Times New Roman" w:hAnsi="Times New Roman" w:cs="Times New Roman"/>
          <w:sz w:val="24"/>
          <w:szCs w:val="24"/>
        </w:rPr>
        <w:t xml:space="preserve">Data for the study will be entered at </w:t>
      </w:r>
      <w:r w:rsidRPr="00FA681A">
        <w:rPr>
          <w:rFonts w:ascii="Times New Roman" w:hAnsi="Times New Roman" w:cs="Times New Roman"/>
          <w:sz w:val="24"/>
          <w:szCs w:val="24"/>
        </w:rPr>
        <w:t>enrolment</w:t>
      </w:r>
      <w:r w:rsidRPr="00532FD6">
        <w:rPr>
          <w:rFonts w:ascii="Times New Roman" w:hAnsi="Times New Roman" w:cs="Times New Roman"/>
          <w:sz w:val="24"/>
          <w:szCs w:val="24"/>
        </w:rPr>
        <w:t xml:space="preserve"> and then approximately every 3 months</w:t>
      </w:r>
      <w:r w:rsidR="00D34717">
        <w:rPr>
          <w:rFonts w:ascii="Times New Roman" w:hAnsi="Times New Roman" w:cs="Times New Roman"/>
          <w:sz w:val="24"/>
          <w:szCs w:val="24"/>
        </w:rPr>
        <w:t xml:space="preserve"> </w:t>
      </w:r>
      <w:r w:rsidR="00D34717" w:rsidRPr="00D34717">
        <w:rPr>
          <w:rFonts w:ascii="Times New Roman" w:hAnsi="Times New Roman" w:cs="Times New Roman"/>
          <w:sz w:val="24"/>
          <w:szCs w:val="24"/>
        </w:rPr>
        <w:t>in the first year of follow-up and then every 6 months thereafter up to 24 months</w:t>
      </w:r>
      <w:r w:rsidRPr="00532FD6">
        <w:rPr>
          <w:rFonts w:ascii="Times New Roman" w:hAnsi="Times New Roman" w:cs="Times New Roman"/>
          <w:sz w:val="24"/>
          <w:szCs w:val="24"/>
        </w:rPr>
        <w:t xml:space="preserve"> </w:t>
      </w:r>
      <w:r w:rsidR="0072183D" w:rsidRPr="00532FD6">
        <w:rPr>
          <w:rFonts w:ascii="Times New Roman" w:hAnsi="Times New Roman" w:cs="Times New Roman"/>
          <w:sz w:val="24"/>
          <w:szCs w:val="24"/>
        </w:rPr>
        <w:t xml:space="preserve">(see Appendix </w:t>
      </w:r>
      <w:r w:rsidR="00E5452A">
        <w:rPr>
          <w:rFonts w:ascii="Times New Roman" w:hAnsi="Times New Roman" w:cs="Times New Roman"/>
          <w:sz w:val="24"/>
          <w:szCs w:val="24"/>
        </w:rPr>
        <w:t>B</w:t>
      </w:r>
      <w:r w:rsidR="0072183D" w:rsidRPr="00532FD6">
        <w:rPr>
          <w:rFonts w:ascii="Times New Roman" w:hAnsi="Times New Roman" w:cs="Times New Roman"/>
          <w:sz w:val="24"/>
          <w:szCs w:val="24"/>
        </w:rPr>
        <w:t>)</w:t>
      </w:r>
      <w:r w:rsidRPr="00532FD6">
        <w:rPr>
          <w:rFonts w:ascii="Times New Roman" w:hAnsi="Times New Roman" w:cs="Times New Roman"/>
          <w:sz w:val="24"/>
          <w:szCs w:val="24"/>
        </w:rPr>
        <w:t>.</w:t>
      </w:r>
      <w:r w:rsidR="00532FD6">
        <w:rPr>
          <w:rFonts w:ascii="Times New Roman" w:hAnsi="Times New Roman" w:cs="Times New Roman"/>
          <w:sz w:val="24"/>
          <w:szCs w:val="24"/>
        </w:rPr>
        <w:t xml:space="preserve"> </w:t>
      </w:r>
      <w:r w:rsidR="00C0241D" w:rsidRPr="00C46BA6">
        <w:rPr>
          <w:rFonts w:ascii="Times New Roman" w:hAnsi="Times New Roman" w:cs="Times New Roman"/>
          <w:color w:val="000000" w:themeColor="text1"/>
          <w:sz w:val="24"/>
          <w:szCs w:val="24"/>
        </w:rPr>
        <w:t xml:space="preserve">To complement information collected by each cohort, </w:t>
      </w:r>
      <w:r w:rsidR="002E0C8E" w:rsidRPr="00C46BA6">
        <w:rPr>
          <w:rFonts w:ascii="Times New Roman" w:hAnsi="Times New Roman" w:cs="Times New Roman"/>
          <w:color w:val="000000" w:themeColor="text1"/>
          <w:sz w:val="24"/>
          <w:szCs w:val="24"/>
        </w:rPr>
        <w:t>patients’ d</w:t>
      </w:r>
      <w:r w:rsidR="00C0241D" w:rsidRPr="00C46BA6">
        <w:rPr>
          <w:rFonts w:ascii="Times New Roman" w:hAnsi="Times New Roman" w:cs="Times New Roman"/>
          <w:color w:val="000000" w:themeColor="text1"/>
          <w:sz w:val="24"/>
          <w:szCs w:val="24"/>
        </w:rPr>
        <w:t xml:space="preserve">ata </w:t>
      </w:r>
      <w:r w:rsidR="002E0C8E" w:rsidRPr="00C46BA6">
        <w:rPr>
          <w:rFonts w:ascii="Times New Roman" w:hAnsi="Times New Roman" w:cs="Times New Roman"/>
          <w:color w:val="000000" w:themeColor="text1"/>
          <w:sz w:val="24"/>
          <w:szCs w:val="24"/>
        </w:rPr>
        <w:t xml:space="preserve">obtained from administrative health databases, including hospitalizations, physician billing, and prescription drugs </w:t>
      </w:r>
      <w:r w:rsidR="00C0241D" w:rsidRPr="00C46BA6">
        <w:rPr>
          <w:rFonts w:ascii="Times New Roman" w:hAnsi="Times New Roman" w:cs="Times New Roman"/>
          <w:color w:val="000000" w:themeColor="text1"/>
          <w:sz w:val="24"/>
          <w:szCs w:val="24"/>
        </w:rPr>
        <w:t xml:space="preserve">will also be collected. </w:t>
      </w:r>
      <w:r w:rsidR="00532FD6">
        <w:rPr>
          <w:rFonts w:ascii="Times New Roman" w:hAnsi="Times New Roman" w:cs="Times New Roman"/>
          <w:sz w:val="24"/>
          <w:szCs w:val="24"/>
        </w:rPr>
        <w:t>For those patients who reach the 24</w:t>
      </w:r>
      <w:r w:rsidR="003C7A09">
        <w:rPr>
          <w:rFonts w:ascii="Times New Roman" w:hAnsi="Times New Roman" w:cs="Times New Roman"/>
          <w:sz w:val="24"/>
          <w:szCs w:val="24"/>
        </w:rPr>
        <w:t>-</w:t>
      </w:r>
      <w:r w:rsidR="00532FD6">
        <w:rPr>
          <w:rFonts w:ascii="Times New Roman" w:hAnsi="Times New Roman" w:cs="Times New Roman"/>
          <w:sz w:val="24"/>
          <w:szCs w:val="24"/>
        </w:rPr>
        <w:t>month mark before the end of our study (Dec. 2022), we will continue to collect data at yearly intervals</w:t>
      </w:r>
      <w:r w:rsidR="00D34717" w:rsidRPr="00D34717">
        <w:rPr>
          <w:rFonts w:ascii="Times New Roman" w:hAnsi="Times New Roman" w:cs="Times New Roman"/>
          <w:sz w:val="24"/>
          <w:szCs w:val="24"/>
        </w:rPr>
        <w:t xml:space="preserve"> (with a final data collection at month 54)</w:t>
      </w:r>
      <w:r w:rsidR="00532FD6">
        <w:rPr>
          <w:rFonts w:ascii="Times New Roman" w:hAnsi="Times New Roman" w:cs="Times New Roman"/>
          <w:sz w:val="24"/>
          <w:szCs w:val="24"/>
        </w:rPr>
        <w:t xml:space="preserve"> so that </w:t>
      </w:r>
      <w:r w:rsidR="00693C06">
        <w:rPr>
          <w:rFonts w:ascii="Times New Roman" w:hAnsi="Times New Roman" w:cs="Times New Roman"/>
          <w:sz w:val="24"/>
          <w:szCs w:val="24"/>
        </w:rPr>
        <w:t>an exploratory analysis of outcomes</w:t>
      </w:r>
      <w:r w:rsidR="00532FD6">
        <w:rPr>
          <w:rFonts w:ascii="Times New Roman" w:hAnsi="Times New Roman" w:cs="Times New Roman"/>
          <w:sz w:val="24"/>
          <w:szCs w:val="24"/>
        </w:rPr>
        <w:t xml:space="preserve"> beyond 24 months can be done.</w:t>
      </w:r>
      <w:r w:rsidR="00E02D68">
        <w:rPr>
          <w:rFonts w:ascii="Times New Roman" w:hAnsi="Times New Roman" w:cs="Times New Roman"/>
          <w:sz w:val="24"/>
          <w:szCs w:val="24"/>
        </w:rPr>
        <w:t xml:space="preserve"> </w:t>
      </w:r>
      <w:r w:rsidR="00E02D68" w:rsidRPr="005F2702">
        <w:rPr>
          <w:rFonts w:ascii="Times New Roman" w:hAnsi="Times New Roman" w:cs="Times New Roman"/>
          <w:sz w:val="24"/>
          <w:szCs w:val="24"/>
        </w:rPr>
        <w:t>Off protocol visits for patient reported increases in disease activity will occur as clinically indicated, but no additional data are required for collection.</w:t>
      </w:r>
    </w:p>
    <w:p w:rsidR="004C625F" w:rsidRDefault="004C625F" w:rsidP="002F4A00">
      <w:pPr>
        <w:spacing w:after="120" w:line="240" w:lineRule="auto"/>
        <w:jc w:val="both"/>
        <w:rPr>
          <w:rFonts w:ascii="Times New Roman" w:hAnsi="Times New Roman" w:cs="Times New Roman"/>
          <w:i/>
          <w:sz w:val="24"/>
          <w:szCs w:val="24"/>
        </w:rPr>
      </w:pPr>
    </w:p>
    <w:p w:rsidR="004E3E0E" w:rsidRDefault="004E3E0E" w:rsidP="002F4A00">
      <w:pPr>
        <w:spacing w:after="120" w:line="240" w:lineRule="auto"/>
        <w:jc w:val="both"/>
        <w:rPr>
          <w:rFonts w:ascii="Times New Roman" w:hAnsi="Times New Roman" w:cs="Times New Roman"/>
          <w:i/>
          <w:sz w:val="24"/>
          <w:szCs w:val="24"/>
        </w:rPr>
      </w:pPr>
      <w:r w:rsidRPr="00EF3776">
        <w:rPr>
          <w:rFonts w:ascii="Times New Roman" w:hAnsi="Times New Roman" w:cs="Times New Roman"/>
          <w:i/>
          <w:sz w:val="24"/>
          <w:szCs w:val="24"/>
        </w:rPr>
        <w:t>Variables</w:t>
      </w:r>
    </w:p>
    <w:p w:rsidR="00A351CA" w:rsidRPr="003A0760" w:rsidRDefault="00A351CA" w:rsidP="002F4A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core of our clinical data resource is a set of established cohorts of selected conditions. </w:t>
      </w:r>
      <w:r w:rsidRPr="00EF3776">
        <w:rPr>
          <w:rFonts w:ascii="Times New Roman" w:hAnsi="Times New Roman" w:cs="Times New Roman"/>
          <w:sz w:val="24"/>
          <w:szCs w:val="24"/>
        </w:rPr>
        <w:t xml:space="preserve">Each cohort will contribute a minimal core set of variables (see below). </w:t>
      </w:r>
    </w:p>
    <w:p w:rsidR="00576D17" w:rsidRPr="00EF3776" w:rsidRDefault="004E3E0E" w:rsidP="002F4A00">
      <w:pPr>
        <w:spacing w:after="120" w:line="240" w:lineRule="auto"/>
        <w:jc w:val="both"/>
        <w:rPr>
          <w:rFonts w:ascii="Times New Roman" w:hAnsi="Times New Roman" w:cs="Times New Roman"/>
          <w:sz w:val="24"/>
          <w:szCs w:val="24"/>
          <w:u w:val="single"/>
        </w:rPr>
      </w:pPr>
      <w:r w:rsidRPr="00EF3776">
        <w:rPr>
          <w:rFonts w:ascii="Times New Roman" w:hAnsi="Times New Roman" w:cs="Times New Roman"/>
          <w:sz w:val="24"/>
          <w:szCs w:val="24"/>
          <w:u w:val="single"/>
        </w:rPr>
        <w:t xml:space="preserve">Variables collected at </w:t>
      </w:r>
      <w:r w:rsidR="00EF5215">
        <w:rPr>
          <w:rFonts w:ascii="Times New Roman" w:hAnsi="Times New Roman" w:cs="Times New Roman"/>
          <w:sz w:val="24"/>
          <w:szCs w:val="24"/>
          <w:u w:val="single"/>
        </w:rPr>
        <w:t>enrolment visit (</w:t>
      </w:r>
      <w:r w:rsidRPr="00EF3776">
        <w:rPr>
          <w:rFonts w:ascii="Times New Roman" w:hAnsi="Times New Roman" w:cs="Times New Roman"/>
          <w:sz w:val="24"/>
          <w:szCs w:val="24"/>
          <w:u w:val="single"/>
        </w:rPr>
        <w:t>baseline</w:t>
      </w:r>
      <w:r w:rsidR="00EF5215">
        <w:rPr>
          <w:rFonts w:ascii="Times New Roman" w:hAnsi="Times New Roman" w:cs="Times New Roman"/>
          <w:sz w:val="24"/>
          <w:szCs w:val="24"/>
          <w:u w:val="single"/>
        </w:rPr>
        <w:t>)</w:t>
      </w:r>
    </w:p>
    <w:p w:rsidR="004E3E0E" w:rsidRPr="00EF3776" w:rsidRDefault="001C6EEE" w:rsidP="002F4A00">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Date of Birth (DOB)</w:t>
      </w:r>
    </w:p>
    <w:p w:rsidR="004E3E0E" w:rsidRDefault="00EC5A8E"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lastRenderedPageBreak/>
        <w:t>Sex</w:t>
      </w:r>
    </w:p>
    <w:p w:rsidR="008266FB" w:rsidRDefault="008266FB" w:rsidP="008266FB">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Race/Ethnicity</w:t>
      </w:r>
    </w:p>
    <w:p w:rsidR="004E3E0E" w:rsidRPr="00EF3776" w:rsidRDefault="004E3E0E"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 xml:space="preserve">Education </w:t>
      </w:r>
      <w:r w:rsidR="00EC5A8E" w:rsidRPr="00EF3776">
        <w:rPr>
          <w:rFonts w:ascii="Times New Roman" w:hAnsi="Times New Roman" w:cs="Times New Roman"/>
          <w:sz w:val="24"/>
          <w:szCs w:val="24"/>
        </w:rPr>
        <w:t xml:space="preserve"> </w:t>
      </w:r>
    </w:p>
    <w:p w:rsidR="004E3E0E" w:rsidRPr="00EF3776" w:rsidRDefault="00E02D68" w:rsidP="002F4A00">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Height and weight</w:t>
      </w:r>
      <w:r w:rsidR="005F2702">
        <w:rPr>
          <w:rFonts w:ascii="Times New Roman" w:hAnsi="Times New Roman" w:cs="Times New Roman"/>
          <w:sz w:val="24"/>
          <w:szCs w:val="24"/>
        </w:rPr>
        <w:t xml:space="preserve"> (BMI)</w:t>
      </w:r>
    </w:p>
    <w:p w:rsidR="004E3E0E" w:rsidRPr="00EF3776" w:rsidRDefault="004E3E0E"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Smoking</w:t>
      </w:r>
      <w:r w:rsidR="00257BFD" w:rsidRPr="00EF3776">
        <w:rPr>
          <w:rFonts w:ascii="Times New Roman" w:hAnsi="Times New Roman" w:cs="Times New Roman"/>
          <w:sz w:val="24"/>
          <w:szCs w:val="24"/>
        </w:rPr>
        <w:t xml:space="preserve"> (Ever/Never, Current, pack-years)</w:t>
      </w:r>
      <w:r w:rsidRPr="00EF3776">
        <w:rPr>
          <w:rFonts w:ascii="Times New Roman" w:hAnsi="Times New Roman" w:cs="Times New Roman"/>
          <w:sz w:val="24"/>
          <w:szCs w:val="24"/>
        </w:rPr>
        <w:t xml:space="preserve"> </w:t>
      </w:r>
    </w:p>
    <w:p w:rsidR="004E3E0E" w:rsidRPr="00EF3776" w:rsidRDefault="00F9239F"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Major c</w:t>
      </w:r>
      <w:r w:rsidR="004E3E0E" w:rsidRPr="00EF3776">
        <w:rPr>
          <w:rFonts w:ascii="Times New Roman" w:hAnsi="Times New Roman" w:cs="Times New Roman"/>
          <w:sz w:val="24"/>
          <w:szCs w:val="24"/>
        </w:rPr>
        <w:t>omorbidities</w:t>
      </w:r>
      <w:r w:rsidRPr="00EF3776">
        <w:rPr>
          <w:rFonts w:ascii="Times New Roman" w:hAnsi="Times New Roman" w:cs="Times New Roman"/>
          <w:sz w:val="24"/>
          <w:szCs w:val="24"/>
        </w:rPr>
        <w:t xml:space="preserve"> (congestive heart failure, diabetes, hypertension, coronary artery disease, malignancy</w:t>
      </w:r>
      <w:r w:rsidR="00257BFD" w:rsidRPr="00EF3776">
        <w:rPr>
          <w:rFonts w:ascii="Times New Roman" w:hAnsi="Times New Roman" w:cs="Times New Roman"/>
          <w:sz w:val="24"/>
          <w:szCs w:val="24"/>
        </w:rPr>
        <w:t>, renal failure, other</w:t>
      </w:r>
      <w:r w:rsidRPr="00EF3776">
        <w:rPr>
          <w:rFonts w:ascii="Times New Roman" w:hAnsi="Times New Roman" w:cs="Times New Roman"/>
          <w:sz w:val="24"/>
          <w:szCs w:val="24"/>
        </w:rPr>
        <w:t>)</w:t>
      </w:r>
    </w:p>
    <w:p w:rsidR="00B2686B" w:rsidRPr="00EF3776" w:rsidRDefault="00B2686B"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Use of physician services and hospitalizations in the year prior to baseline</w:t>
      </w:r>
      <w:r w:rsidR="00257BFD" w:rsidRPr="00EF3776">
        <w:rPr>
          <w:rFonts w:ascii="Times New Roman" w:hAnsi="Times New Roman" w:cs="Times New Roman"/>
          <w:sz w:val="24"/>
          <w:szCs w:val="24"/>
        </w:rPr>
        <w:t xml:space="preserve"> (including total physician use but also</w:t>
      </w:r>
      <w:r w:rsidR="00910F3A" w:rsidRPr="00EF3776">
        <w:rPr>
          <w:rFonts w:ascii="Times New Roman" w:hAnsi="Times New Roman" w:cs="Times New Roman"/>
          <w:sz w:val="24"/>
          <w:szCs w:val="24"/>
        </w:rPr>
        <w:t xml:space="preserve"> detailing</w:t>
      </w:r>
      <w:r w:rsidR="00257BFD" w:rsidRPr="00EF3776">
        <w:rPr>
          <w:rFonts w:ascii="Times New Roman" w:hAnsi="Times New Roman" w:cs="Times New Roman"/>
          <w:sz w:val="24"/>
          <w:szCs w:val="24"/>
        </w:rPr>
        <w:t xml:space="preserve"> specialty services)</w:t>
      </w:r>
    </w:p>
    <w:p w:rsidR="00B2686B" w:rsidRPr="00EF3776" w:rsidRDefault="00B2686B"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Relevant surgical history since disease onset (related to IBD or rheumatic condition, as is relevant).</w:t>
      </w:r>
    </w:p>
    <w:p w:rsidR="004E3E0E" w:rsidRPr="00EF3776" w:rsidRDefault="004E3E0E" w:rsidP="002F4A00">
      <w:pPr>
        <w:pStyle w:val="ListParagraph"/>
        <w:numPr>
          <w:ilvl w:val="0"/>
          <w:numId w:val="4"/>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 xml:space="preserve">Disease </w:t>
      </w:r>
      <w:r w:rsidR="00135D64">
        <w:rPr>
          <w:rFonts w:ascii="Times New Roman" w:hAnsi="Times New Roman" w:cs="Times New Roman"/>
          <w:sz w:val="24"/>
          <w:szCs w:val="24"/>
        </w:rPr>
        <w:t xml:space="preserve">diagnosis and </w:t>
      </w:r>
      <w:r w:rsidRPr="00EF3776">
        <w:rPr>
          <w:rFonts w:ascii="Times New Roman" w:hAnsi="Times New Roman" w:cs="Times New Roman"/>
          <w:sz w:val="24"/>
          <w:szCs w:val="24"/>
        </w:rPr>
        <w:t>duration</w:t>
      </w:r>
    </w:p>
    <w:p w:rsidR="00135D64" w:rsidRDefault="00135D64" w:rsidP="00135D64">
      <w:pPr>
        <w:pStyle w:val="ListParagraph"/>
        <w:numPr>
          <w:ilvl w:val="0"/>
          <w:numId w:val="4"/>
        </w:numPr>
        <w:spacing w:after="120" w:line="240" w:lineRule="auto"/>
        <w:jc w:val="both"/>
        <w:rPr>
          <w:rFonts w:ascii="Times New Roman" w:hAnsi="Times New Roman" w:cs="Times New Roman"/>
          <w:sz w:val="24"/>
          <w:szCs w:val="24"/>
        </w:rPr>
      </w:pPr>
      <w:r w:rsidRPr="00C405AB">
        <w:rPr>
          <w:rFonts w:ascii="Times New Roman" w:hAnsi="Times New Roman" w:cs="Times New Roman"/>
          <w:sz w:val="24"/>
          <w:szCs w:val="24"/>
        </w:rPr>
        <w:t>Disease Phenotype by Montreal Classification System</w:t>
      </w:r>
    </w:p>
    <w:p w:rsidR="00680B16" w:rsidRDefault="00E935D2" w:rsidP="00680B16">
      <w:pPr>
        <w:pStyle w:val="ListParagraph"/>
        <w:numPr>
          <w:ilvl w:val="0"/>
          <w:numId w:val="4"/>
        </w:numPr>
        <w:spacing w:after="120" w:line="240" w:lineRule="auto"/>
        <w:jc w:val="both"/>
        <w:rPr>
          <w:rFonts w:ascii="Times New Roman" w:hAnsi="Times New Roman" w:cs="Times New Roman"/>
          <w:sz w:val="24"/>
        </w:rPr>
      </w:pPr>
      <w:r w:rsidRPr="00E935D2">
        <w:rPr>
          <w:rFonts w:ascii="Times New Roman" w:hAnsi="Times New Roman" w:cs="Times New Roman"/>
          <w:sz w:val="24"/>
        </w:rPr>
        <w:t>Past use of medication: steroids, non-biologic and biologic DMARDs, non-steroidal anti-inflammatory drugs (NSAIDs), cyclo-oxygenase-II inhibitors (COXIBs)</w:t>
      </w:r>
    </w:p>
    <w:p w:rsidR="0059269B" w:rsidRPr="00680B16" w:rsidRDefault="003F5525" w:rsidP="00680B16">
      <w:pPr>
        <w:pStyle w:val="ListParagraph"/>
        <w:numPr>
          <w:ilvl w:val="0"/>
          <w:numId w:val="4"/>
        </w:numPr>
        <w:spacing w:after="120" w:line="240" w:lineRule="auto"/>
        <w:jc w:val="both"/>
        <w:rPr>
          <w:rFonts w:ascii="Times New Roman" w:hAnsi="Times New Roman" w:cs="Times New Roman"/>
          <w:sz w:val="24"/>
        </w:rPr>
      </w:pPr>
      <w:r>
        <w:rPr>
          <w:rFonts w:ascii="Times New Roman" w:hAnsi="Times New Roman" w:cs="Times New Roman"/>
          <w:sz w:val="24"/>
        </w:rPr>
        <w:t>Prescription drug</w:t>
      </w:r>
      <w:r w:rsidR="0059269B">
        <w:rPr>
          <w:rFonts w:ascii="Times New Roman" w:hAnsi="Times New Roman" w:cs="Times New Roman"/>
          <w:sz w:val="24"/>
        </w:rPr>
        <w:t xml:space="preserve"> insurance</w:t>
      </w:r>
      <w:r>
        <w:rPr>
          <w:rFonts w:ascii="Times New Roman" w:hAnsi="Times New Roman" w:cs="Times New Roman"/>
          <w:sz w:val="24"/>
        </w:rPr>
        <w:t xml:space="preserve"> coverage, either public or private</w:t>
      </w:r>
      <w:r w:rsidR="0059269B">
        <w:rPr>
          <w:rFonts w:ascii="Times New Roman" w:hAnsi="Times New Roman" w:cs="Times New Roman"/>
          <w:sz w:val="24"/>
        </w:rPr>
        <w:t xml:space="preserve"> (if applicable)</w:t>
      </w:r>
    </w:p>
    <w:p w:rsidR="004E3E0E" w:rsidRPr="00EF3776" w:rsidRDefault="004E3E0E" w:rsidP="002F4A00">
      <w:pPr>
        <w:spacing w:after="120" w:line="240" w:lineRule="auto"/>
        <w:jc w:val="both"/>
        <w:rPr>
          <w:rFonts w:ascii="Times New Roman" w:hAnsi="Times New Roman" w:cs="Times New Roman"/>
          <w:sz w:val="24"/>
          <w:szCs w:val="24"/>
          <w:u w:val="single"/>
        </w:rPr>
      </w:pPr>
      <w:r w:rsidRPr="00EF3776">
        <w:rPr>
          <w:rFonts w:ascii="Times New Roman" w:hAnsi="Times New Roman" w:cs="Times New Roman"/>
          <w:sz w:val="24"/>
          <w:szCs w:val="24"/>
          <w:u w:val="single"/>
        </w:rPr>
        <w:t>Variables collected at baseline</w:t>
      </w:r>
      <w:r w:rsidR="00680B16">
        <w:rPr>
          <w:rFonts w:ascii="Times New Roman" w:hAnsi="Times New Roman" w:cs="Times New Roman"/>
          <w:sz w:val="24"/>
          <w:szCs w:val="24"/>
          <w:u w:val="single"/>
        </w:rPr>
        <w:t xml:space="preserve"> visit</w:t>
      </w:r>
      <w:r w:rsidRPr="00EF3776">
        <w:rPr>
          <w:rFonts w:ascii="Times New Roman" w:hAnsi="Times New Roman" w:cs="Times New Roman"/>
          <w:sz w:val="24"/>
          <w:szCs w:val="24"/>
          <w:u w:val="single"/>
        </w:rPr>
        <w:t xml:space="preserve"> and during follow-up</w:t>
      </w:r>
      <w:r w:rsidR="00680B16">
        <w:rPr>
          <w:rFonts w:ascii="Times New Roman" w:hAnsi="Times New Roman" w:cs="Times New Roman"/>
          <w:sz w:val="24"/>
          <w:szCs w:val="24"/>
          <w:u w:val="single"/>
        </w:rPr>
        <w:t xml:space="preserve"> visits</w:t>
      </w:r>
    </w:p>
    <w:p w:rsidR="00F82DCB" w:rsidRDefault="00F82DCB" w:rsidP="001152FD">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Updated demographics (weight, smoking status, education</w:t>
      </w:r>
      <w:r w:rsidR="00A65407">
        <w:rPr>
          <w:rFonts w:ascii="Times New Roman" w:hAnsi="Times New Roman" w:cs="Times New Roman"/>
          <w:sz w:val="24"/>
          <w:szCs w:val="24"/>
        </w:rPr>
        <w:t>, comorbidities</w:t>
      </w:r>
      <w:r>
        <w:rPr>
          <w:rFonts w:ascii="Times New Roman" w:hAnsi="Times New Roman" w:cs="Times New Roman"/>
          <w:sz w:val="24"/>
          <w:szCs w:val="24"/>
        </w:rPr>
        <w:t>)</w:t>
      </w:r>
    </w:p>
    <w:p w:rsidR="002F4427" w:rsidRPr="00EF3776" w:rsidRDefault="007C08F9" w:rsidP="001152FD">
      <w:pPr>
        <w:pStyle w:val="ListParagraph"/>
        <w:numPr>
          <w:ilvl w:val="0"/>
          <w:numId w:val="5"/>
        </w:numPr>
        <w:spacing w:after="120" w:line="240" w:lineRule="auto"/>
        <w:rPr>
          <w:rFonts w:ascii="Times New Roman" w:hAnsi="Times New Roman" w:cs="Times New Roman"/>
          <w:sz w:val="24"/>
          <w:szCs w:val="24"/>
        </w:rPr>
      </w:pPr>
      <w:r w:rsidRPr="00EF3776">
        <w:rPr>
          <w:rFonts w:ascii="Times New Roman" w:hAnsi="Times New Roman" w:cs="Times New Roman"/>
          <w:sz w:val="24"/>
          <w:szCs w:val="24"/>
        </w:rPr>
        <w:t>Clinical evaluation</w:t>
      </w:r>
      <w:r w:rsidR="006A4B7F" w:rsidRPr="00EF3776">
        <w:rPr>
          <w:rFonts w:ascii="Times New Roman" w:hAnsi="Times New Roman" w:cs="Times New Roman"/>
          <w:sz w:val="24"/>
          <w:szCs w:val="24"/>
        </w:rPr>
        <w:t xml:space="preserve"> of disease activity</w:t>
      </w:r>
      <w:r w:rsidR="00E42E22">
        <w:rPr>
          <w:rFonts w:ascii="Times New Roman" w:hAnsi="Times New Roman" w:cs="Times New Roman"/>
          <w:sz w:val="24"/>
          <w:szCs w:val="24"/>
        </w:rPr>
        <w:t xml:space="preserve"> and </w:t>
      </w:r>
      <w:r w:rsidR="00283EDA">
        <w:rPr>
          <w:rFonts w:ascii="Times New Roman" w:hAnsi="Times New Roman" w:cs="Times New Roman"/>
          <w:sz w:val="24"/>
          <w:szCs w:val="24"/>
        </w:rPr>
        <w:t>response</w:t>
      </w:r>
      <w:r w:rsidR="00171BA0" w:rsidRPr="00EF3776">
        <w:rPr>
          <w:rFonts w:ascii="Times New Roman" w:hAnsi="Times New Roman" w:cs="Times New Roman"/>
          <w:sz w:val="24"/>
          <w:szCs w:val="24"/>
        </w:rPr>
        <w:t>: DAS-28</w:t>
      </w:r>
      <w:r w:rsidR="00D133CC">
        <w:rPr>
          <w:rFonts w:ascii="Times New Roman" w:hAnsi="Times New Roman" w:cs="Times New Roman"/>
          <w:sz w:val="24"/>
          <w:szCs w:val="24"/>
        </w:rPr>
        <w:t xml:space="preserve"> (</w:t>
      </w:r>
      <w:r w:rsidR="00D133CC" w:rsidRPr="00EF3776">
        <w:rPr>
          <w:rFonts w:ascii="Times New Roman" w:hAnsi="Times New Roman" w:cs="Times New Roman"/>
          <w:sz w:val="24"/>
          <w:szCs w:val="24"/>
        </w:rPr>
        <w:t>Disease Activity Score</w:t>
      </w:r>
      <w:r w:rsidR="00D133CC">
        <w:rPr>
          <w:rFonts w:ascii="Times New Roman" w:hAnsi="Times New Roman" w:cs="Times New Roman"/>
          <w:sz w:val="24"/>
          <w:szCs w:val="24"/>
        </w:rPr>
        <w:t xml:space="preserve"> with a 28-joint count)</w:t>
      </w:r>
      <w:r w:rsidR="00171BA0" w:rsidRPr="00EF3776">
        <w:rPr>
          <w:rFonts w:ascii="Times New Roman" w:hAnsi="Times New Roman" w:cs="Times New Roman"/>
          <w:sz w:val="24"/>
          <w:szCs w:val="24"/>
        </w:rPr>
        <w:t>, SDAI</w:t>
      </w:r>
      <w:r w:rsidR="00863358">
        <w:rPr>
          <w:rFonts w:ascii="Times New Roman" w:hAnsi="Times New Roman" w:cs="Times New Roman"/>
          <w:sz w:val="24"/>
          <w:szCs w:val="24"/>
        </w:rPr>
        <w:t xml:space="preserve"> (</w:t>
      </w:r>
      <w:r w:rsidR="00863358" w:rsidRPr="00EF3776">
        <w:rPr>
          <w:rFonts w:ascii="Times New Roman" w:hAnsi="Times New Roman" w:cs="Times New Roman"/>
          <w:sz w:val="24"/>
          <w:szCs w:val="24"/>
        </w:rPr>
        <w:t>Simple Disease Activity Index</w:t>
      </w:r>
      <w:r w:rsidR="00863358">
        <w:rPr>
          <w:rFonts w:ascii="Times New Roman" w:hAnsi="Times New Roman" w:cs="Times New Roman"/>
          <w:sz w:val="24"/>
          <w:szCs w:val="24"/>
        </w:rPr>
        <w:t>)</w:t>
      </w:r>
      <w:r w:rsidR="00171BA0" w:rsidRPr="00EF3776">
        <w:rPr>
          <w:rFonts w:ascii="Times New Roman" w:hAnsi="Times New Roman" w:cs="Times New Roman"/>
          <w:sz w:val="24"/>
          <w:szCs w:val="24"/>
        </w:rPr>
        <w:t xml:space="preserve">, </w:t>
      </w:r>
      <w:r w:rsidR="006B45F8" w:rsidRPr="00EF3776">
        <w:rPr>
          <w:rFonts w:ascii="Times New Roman" w:hAnsi="Times New Roman" w:cs="Times New Roman"/>
          <w:sz w:val="24"/>
          <w:szCs w:val="24"/>
        </w:rPr>
        <w:t>ASAS</w:t>
      </w:r>
      <w:r w:rsidR="00D133CC">
        <w:rPr>
          <w:rFonts w:ascii="Times New Roman" w:hAnsi="Times New Roman" w:cs="Times New Roman"/>
          <w:sz w:val="24"/>
          <w:szCs w:val="24"/>
        </w:rPr>
        <w:t xml:space="preserve"> (</w:t>
      </w:r>
      <w:r w:rsidR="00D133CC" w:rsidRPr="00EF3776">
        <w:rPr>
          <w:rFonts w:ascii="Times New Roman" w:hAnsi="Times New Roman" w:cs="Times New Roman"/>
          <w:sz w:val="24"/>
          <w:szCs w:val="24"/>
        </w:rPr>
        <w:t xml:space="preserve">Assessment in </w:t>
      </w:r>
      <w:proofErr w:type="spellStart"/>
      <w:r w:rsidR="00D133CC" w:rsidRPr="00EF3776">
        <w:rPr>
          <w:rFonts w:ascii="Times New Roman" w:hAnsi="Times New Roman" w:cs="Times New Roman"/>
          <w:sz w:val="24"/>
          <w:szCs w:val="24"/>
        </w:rPr>
        <w:t>SpondyloArthritis</w:t>
      </w:r>
      <w:proofErr w:type="spellEnd"/>
      <w:r w:rsidR="00D133CC" w:rsidRPr="00EF3776">
        <w:rPr>
          <w:rFonts w:ascii="Times New Roman" w:hAnsi="Times New Roman" w:cs="Times New Roman"/>
          <w:sz w:val="24"/>
          <w:szCs w:val="24"/>
        </w:rPr>
        <w:t xml:space="preserve"> International Society</w:t>
      </w:r>
      <w:r w:rsidR="00D133CC">
        <w:rPr>
          <w:rFonts w:ascii="Times New Roman" w:hAnsi="Times New Roman" w:cs="Times New Roman"/>
          <w:sz w:val="24"/>
          <w:szCs w:val="24"/>
        </w:rPr>
        <w:t>) response criteria</w:t>
      </w:r>
      <w:r w:rsidR="006B45F8" w:rsidRPr="00EF3776">
        <w:rPr>
          <w:rFonts w:ascii="Times New Roman" w:hAnsi="Times New Roman" w:cs="Times New Roman"/>
          <w:sz w:val="24"/>
          <w:szCs w:val="24"/>
        </w:rPr>
        <w:t xml:space="preserve">, </w:t>
      </w:r>
      <w:r w:rsidR="00171BA0" w:rsidRPr="00EF3776">
        <w:rPr>
          <w:rFonts w:ascii="Times New Roman" w:hAnsi="Times New Roman" w:cs="Times New Roman"/>
          <w:sz w:val="24"/>
          <w:szCs w:val="24"/>
        </w:rPr>
        <w:t>ASDAS</w:t>
      </w:r>
      <w:r w:rsidR="00E42E22">
        <w:rPr>
          <w:rFonts w:ascii="Times New Roman" w:hAnsi="Times New Roman" w:cs="Times New Roman"/>
          <w:sz w:val="24"/>
          <w:szCs w:val="24"/>
        </w:rPr>
        <w:t xml:space="preserve"> (</w:t>
      </w:r>
      <w:r w:rsidR="00E42E22" w:rsidRPr="00EF3776">
        <w:rPr>
          <w:rFonts w:ascii="Times New Roman" w:hAnsi="Times New Roman" w:cs="Times New Roman"/>
          <w:sz w:val="24"/>
          <w:szCs w:val="24"/>
        </w:rPr>
        <w:t>Spondylitis Disease Activity Score</w:t>
      </w:r>
      <w:r w:rsidR="00E42E22">
        <w:rPr>
          <w:rFonts w:ascii="Times New Roman" w:hAnsi="Times New Roman" w:cs="Times New Roman"/>
          <w:sz w:val="24"/>
          <w:szCs w:val="24"/>
        </w:rPr>
        <w:t>)</w:t>
      </w:r>
      <w:r w:rsidR="00171BA0" w:rsidRPr="00EF3776">
        <w:rPr>
          <w:rFonts w:ascii="Times New Roman" w:hAnsi="Times New Roman" w:cs="Times New Roman"/>
          <w:sz w:val="24"/>
          <w:szCs w:val="24"/>
        </w:rPr>
        <w:t>, BASDAI</w:t>
      </w:r>
      <w:r w:rsidR="00E42E22">
        <w:rPr>
          <w:rFonts w:ascii="Times New Roman" w:hAnsi="Times New Roman" w:cs="Times New Roman"/>
          <w:sz w:val="24"/>
          <w:szCs w:val="24"/>
        </w:rPr>
        <w:t xml:space="preserve"> (</w:t>
      </w:r>
      <w:r w:rsidR="00E42E22" w:rsidRPr="00EF3776">
        <w:rPr>
          <w:rFonts w:ascii="Times New Roman" w:hAnsi="Times New Roman" w:cs="Times New Roman"/>
          <w:sz w:val="24"/>
          <w:szCs w:val="24"/>
        </w:rPr>
        <w:t>Bath Ankylosing Spondylitis Disease Activity Index</w:t>
      </w:r>
      <w:r w:rsidR="00E42E22">
        <w:rPr>
          <w:rFonts w:ascii="Times New Roman" w:hAnsi="Times New Roman" w:cs="Times New Roman"/>
          <w:sz w:val="24"/>
          <w:szCs w:val="24"/>
        </w:rPr>
        <w:t>)</w:t>
      </w:r>
      <w:r w:rsidR="00171BA0" w:rsidRPr="00EF3776">
        <w:rPr>
          <w:rFonts w:ascii="Times New Roman" w:hAnsi="Times New Roman" w:cs="Times New Roman"/>
          <w:sz w:val="24"/>
          <w:szCs w:val="24"/>
        </w:rPr>
        <w:t>, BASFI</w:t>
      </w:r>
      <w:r w:rsidR="00E42E22">
        <w:rPr>
          <w:rFonts w:ascii="Times New Roman" w:hAnsi="Times New Roman" w:cs="Times New Roman"/>
          <w:sz w:val="24"/>
          <w:szCs w:val="24"/>
        </w:rPr>
        <w:t xml:space="preserve"> (</w:t>
      </w:r>
      <w:r w:rsidR="00E42E22" w:rsidRPr="00E42E22">
        <w:rPr>
          <w:rFonts w:ascii="Times New Roman" w:hAnsi="Times New Roman" w:cs="Times New Roman"/>
          <w:sz w:val="24"/>
          <w:szCs w:val="24"/>
        </w:rPr>
        <w:t>Bath Ankylosing Spondylitis Functional Index</w:t>
      </w:r>
      <w:r w:rsidR="00E42E22">
        <w:rPr>
          <w:rFonts w:ascii="Times New Roman" w:hAnsi="Times New Roman" w:cs="Times New Roman"/>
          <w:sz w:val="24"/>
          <w:szCs w:val="24"/>
        </w:rPr>
        <w:t>)</w:t>
      </w:r>
      <w:r w:rsidR="00F96476">
        <w:rPr>
          <w:rFonts w:ascii="Times New Roman" w:hAnsi="Times New Roman" w:cs="Times New Roman"/>
          <w:sz w:val="24"/>
          <w:szCs w:val="24"/>
        </w:rPr>
        <w:t xml:space="preserve">, </w:t>
      </w:r>
      <w:proofErr w:type="spellStart"/>
      <w:r w:rsidR="00F96476">
        <w:rPr>
          <w:rFonts w:ascii="Times New Roman" w:hAnsi="Times New Roman" w:cs="Times New Roman"/>
          <w:sz w:val="24"/>
          <w:szCs w:val="24"/>
        </w:rPr>
        <w:t>mSASSS</w:t>
      </w:r>
      <w:proofErr w:type="spellEnd"/>
      <w:r w:rsidR="00F96476">
        <w:rPr>
          <w:rFonts w:ascii="Times New Roman" w:hAnsi="Times New Roman" w:cs="Times New Roman"/>
          <w:sz w:val="24"/>
          <w:szCs w:val="24"/>
        </w:rPr>
        <w:t xml:space="preserve"> (</w:t>
      </w:r>
      <w:r w:rsidR="00F96476" w:rsidRPr="00EF3776">
        <w:rPr>
          <w:rFonts w:ascii="Times New Roman" w:hAnsi="Times New Roman" w:cs="Times New Roman"/>
          <w:sz w:val="24"/>
          <w:szCs w:val="24"/>
        </w:rPr>
        <w:t>Stoke Ankylosing Spondylitis Spine Score</w:t>
      </w:r>
      <w:r w:rsidR="00F96476">
        <w:rPr>
          <w:rFonts w:ascii="Times New Roman" w:hAnsi="Times New Roman" w:cs="Times New Roman"/>
          <w:sz w:val="24"/>
          <w:szCs w:val="24"/>
        </w:rPr>
        <w:t>)</w:t>
      </w:r>
      <w:r w:rsidR="00171BA0" w:rsidRPr="00EF3776">
        <w:rPr>
          <w:rFonts w:ascii="Times New Roman" w:hAnsi="Times New Roman" w:cs="Times New Roman"/>
          <w:sz w:val="24"/>
          <w:szCs w:val="24"/>
        </w:rPr>
        <w:t xml:space="preserve">, </w:t>
      </w:r>
      <w:r w:rsidR="002F4427" w:rsidRPr="00EF3776">
        <w:rPr>
          <w:rFonts w:ascii="Times New Roman" w:hAnsi="Times New Roman" w:cs="Times New Roman"/>
          <w:sz w:val="24"/>
          <w:szCs w:val="24"/>
        </w:rPr>
        <w:t>physician's global assessment of disease activity (VAS 100 mm)</w:t>
      </w:r>
      <w:r w:rsidR="0020192F" w:rsidRPr="00EF3776">
        <w:rPr>
          <w:rFonts w:ascii="Times New Roman" w:hAnsi="Times New Roman" w:cs="Times New Roman"/>
          <w:sz w:val="24"/>
          <w:szCs w:val="24"/>
        </w:rPr>
        <w:t xml:space="preserve">, </w:t>
      </w:r>
      <w:r w:rsidR="001152FD" w:rsidRPr="001152FD">
        <w:rPr>
          <w:rFonts w:ascii="Times New Roman" w:hAnsi="Times New Roman" w:cs="Times New Roman"/>
          <w:sz w:val="24"/>
          <w:szCs w:val="24"/>
        </w:rPr>
        <w:t>Harvey-Bradshaw Index</w:t>
      </w:r>
      <w:r w:rsidR="001152FD">
        <w:rPr>
          <w:rFonts w:ascii="Times New Roman" w:hAnsi="Times New Roman" w:cs="Times New Roman"/>
          <w:sz w:val="24"/>
          <w:szCs w:val="24"/>
        </w:rPr>
        <w:t xml:space="preserve"> (HBI), </w:t>
      </w:r>
      <w:r w:rsidR="0020192F" w:rsidRPr="00EF3776">
        <w:rPr>
          <w:rFonts w:ascii="Times New Roman" w:hAnsi="Times New Roman" w:cs="Times New Roman"/>
          <w:sz w:val="24"/>
          <w:szCs w:val="24"/>
        </w:rPr>
        <w:t>Partial Mayo score</w:t>
      </w:r>
      <w:r w:rsidR="0007363D" w:rsidRPr="00EF3776">
        <w:rPr>
          <w:rFonts w:ascii="Times New Roman" w:hAnsi="Times New Roman" w:cs="Times New Roman"/>
          <w:sz w:val="24"/>
          <w:szCs w:val="24"/>
        </w:rPr>
        <w:t xml:space="preserve"> (PMS)</w:t>
      </w:r>
      <w:r w:rsidR="0020192F" w:rsidRPr="00EF3776">
        <w:rPr>
          <w:rFonts w:ascii="Times New Roman" w:hAnsi="Times New Roman" w:cs="Times New Roman"/>
          <w:sz w:val="24"/>
          <w:szCs w:val="24"/>
        </w:rPr>
        <w:t>, Crohn's Disease Activity Index</w:t>
      </w:r>
      <w:r w:rsidR="00D133CC">
        <w:rPr>
          <w:rFonts w:ascii="Times New Roman" w:hAnsi="Times New Roman" w:cs="Times New Roman"/>
          <w:sz w:val="24"/>
          <w:szCs w:val="24"/>
        </w:rPr>
        <w:t xml:space="preserve"> (CDAI)</w:t>
      </w:r>
    </w:p>
    <w:p w:rsidR="00171BA0" w:rsidRPr="00135D64" w:rsidRDefault="00680B16" w:rsidP="00135D64">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Any p</w:t>
      </w:r>
      <w:r w:rsidR="00171BA0" w:rsidRPr="00135D64">
        <w:rPr>
          <w:rFonts w:ascii="Times New Roman" w:hAnsi="Times New Roman" w:cs="Times New Roman"/>
          <w:sz w:val="24"/>
          <w:szCs w:val="24"/>
        </w:rPr>
        <w:t xml:space="preserve">atient </w:t>
      </w:r>
      <w:r w:rsidR="006A4B7F" w:rsidRPr="00135D64">
        <w:rPr>
          <w:rFonts w:ascii="Times New Roman" w:hAnsi="Times New Roman" w:cs="Times New Roman"/>
          <w:sz w:val="24"/>
          <w:szCs w:val="24"/>
        </w:rPr>
        <w:t>reported outcomes</w:t>
      </w:r>
      <w:r w:rsidR="00171BA0" w:rsidRPr="00135D64">
        <w:rPr>
          <w:rFonts w:ascii="Times New Roman" w:hAnsi="Times New Roman" w:cs="Times New Roman"/>
          <w:sz w:val="24"/>
          <w:szCs w:val="24"/>
        </w:rPr>
        <w:t xml:space="preserve">: </w:t>
      </w:r>
      <w:r w:rsidR="00B921F1">
        <w:rPr>
          <w:rFonts w:ascii="Times New Roman" w:hAnsi="Times New Roman" w:cs="Times New Roman"/>
          <w:sz w:val="24"/>
          <w:szCs w:val="24"/>
        </w:rPr>
        <w:t xml:space="preserve">EQ-5D, </w:t>
      </w:r>
      <w:r w:rsidR="00347A49" w:rsidRPr="00135D64">
        <w:rPr>
          <w:rFonts w:ascii="Times New Roman" w:hAnsi="Times New Roman" w:cs="Times New Roman"/>
          <w:sz w:val="24"/>
          <w:szCs w:val="24"/>
        </w:rPr>
        <w:t>HAQ-DI</w:t>
      </w:r>
      <w:r w:rsidR="00135D64">
        <w:rPr>
          <w:rFonts w:ascii="Times New Roman" w:hAnsi="Times New Roman" w:cs="Times New Roman"/>
          <w:sz w:val="24"/>
          <w:szCs w:val="24"/>
        </w:rPr>
        <w:t xml:space="preserve">, </w:t>
      </w:r>
      <w:r w:rsidR="00135D64" w:rsidRPr="00135D64">
        <w:rPr>
          <w:rFonts w:ascii="Times New Roman" w:hAnsi="Times New Roman" w:cs="Times New Roman"/>
          <w:sz w:val="24"/>
          <w:szCs w:val="24"/>
        </w:rPr>
        <w:t xml:space="preserve">SIBDQ, </w:t>
      </w:r>
      <w:r w:rsidR="00386086">
        <w:rPr>
          <w:rFonts w:ascii="Times New Roman" w:hAnsi="Times New Roman" w:cs="Times New Roman"/>
          <w:sz w:val="24"/>
          <w:szCs w:val="24"/>
        </w:rPr>
        <w:t>VR-12</w:t>
      </w:r>
      <w:r w:rsidR="00135D64">
        <w:rPr>
          <w:rFonts w:ascii="Times New Roman" w:hAnsi="Times New Roman" w:cs="Times New Roman"/>
          <w:sz w:val="24"/>
          <w:szCs w:val="24"/>
        </w:rPr>
        <w:t xml:space="preserve">, </w:t>
      </w:r>
      <w:r w:rsidR="002F4427" w:rsidRPr="00135D64">
        <w:rPr>
          <w:rFonts w:ascii="Times New Roman" w:hAnsi="Times New Roman" w:cs="Times New Roman"/>
          <w:sz w:val="24"/>
          <w:szCs w:val="24"/>
        </w:rPr>
        <w:t>patient's global assessment of disease activity (VAS 100 mm)</w:t>
      </w:r>
    </w:p>
    <w:p w:rsidR="00C35506" w:rsidRPr="00EF3776" w:rsidRDefault="006C0687" w:rsidP="002F4A00">
      <w:pPr>
        <w:pStyle w:val="ListParagraph"/>
        <w:numPr>
          <w:ilvl w:val="0"/>
          <w:numId w:val="5"/>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Tender and</w:t>
      </w:r>
      <w:r w:rsidR="00C35506" w:rsidRPr="00EF3776">
        <w:rPr>
          <w:rFonts w:ascii="Times New Roman" w:hAnsi="Times New Roman" w:cs="Times New Roman"/>
          <w:sz w:val="24"/>
          <w:szCs w:val="24"/>
        </w:rPr>
        <w:t xml:space="preserve"> </w:t>
      </w:r>
      <w:r w:rsidR="00910F3A" w:rsidRPr="00EF3776">
        <w:rPr>
          <w:rFonts w:ascii="Times New Roman" w:hAnsi="Times New Roman" w:cs="Times New Roman"/>
          <w:sz w:val="24"/>
          <w:szCs w:val="24"/>
        </w:rPr>
        <w:t>s</w:t>
      </w:r>
      <w:r w:rsidR="00C35506" w:rsidRPr="00EF3776">
        <w:rPr>
          <w:rFonts w:ascii="Times New Roman" w:hAnsi="Times New Roman" w:cs="Times New Roman"/>
          <w:sz w:val="24"/>
          <w:szCs w:val="24"/>
        </w:rPr>
        <w:t xml:space="preserve">wollen </w:t>
      </w:r>
      <w:r w:rsidR="00910F3A" w:rsidRPr="00EF3776">
        <w:rPr>
          <w:rFonts w:ascii="Times New Roman" w:hAnsi="Times New Roman" w:cs="Times New Roman"/>
          <w:sz w:val="24"/>
          <w:szCs w:val="24"/>
        </w:rPr>
        <w:t>j</w:t>
      </w:r>
      <w:r w:rsidR="00C35506" w:rsidRPr="00EF3776">
        <w:rPr>
          <w:rFonts w:ascii="Times New Roman" w:hAnsi="Times New Roman" w:cs="Times New Roman"/>
          <w:sz w:val="24"/>
          <w:szCs w:val="24"/>
        </w:rPr>
        <w:t xml:space="preserve">oint </w:t>
      </w:r>
      <w:r w:rsidR="00910F3A" w:rsidRPr="00EF3776">
        <w:rPr>
          <w:rFonts w:ascii="Times New Roman" w:hAnsi="Times New Roman" w:cs="Times New Roman"/>
          <w:sz w:val="24"/>
          <w:szCs w:val="24"/>
        </w:rPr>
        <w:t>c</w:t>
      </w:r>
      <w:r w:rsidR="00C35506" w:rsidRPr="00EF3776">
        <w:rPr>
          <w:rFonts w:ascii="Times New Roman" w:hAnsi="Times New Roman" w:cs="Times New Roman"/>
          <w:sz w:val="24"/>
          <w:szCs w:val="24"/>
        </w:rPr>
        <w:t>ount (0–28)</w:t>
      </w:r>
      <w:r w:rsidRPr="00EF3776">
        <w:rPr>
          <w:rFonts w:ascii="Times New Roman" w:hAnsi="Times New Roman" w:cs="Times New Roman"/>
          <w:sz w:val="24"/>
          <w:szCs w:val="24"/>
        </w:rPr>
        <w:t xml:space="preserve"> for RA and AS</w:t>
      </w:r>
    </w:p>
    <w:p w:rsidR="00F53290" w:rsidRPr="00F53290" w:rsidRDefault="00F53290" w:rsidP="00F53290">
      <w:pPr>
        <w:pStyle w:val="ListParagraph"/>
        <w:numPr>
          <w:ilvl w:val="0"/>
          <w:numId w:val="5"/>
        </w:numPr>
        <w:spacing w:after="120" w:line="240" w:lineRule="auto"/>
        <w:jc w:val="both"/>
        <w:rPr>
          <w:rFonts w:ascii="Times New Roman" w:hAnsi="Times New Roman" w:cs="Times New Roman"/>
          <w:sz w:val="24"/>
          <w:szCs w:val="24"/>
        </w:rPr>
      </w:pPr>
      <w:r w:rsidRPr="00F53290">
        <w:rPr>
          <w:rFonts w:ascii="Times New Roman" w:hAnsi="Times New Roman" w:cs="Times New Roman"/>
          <w:sz w:val="24"/>
          <w:szCs w:val="24"/>
        </w:rPr>
        <w:t>Reports from any endoscopic assessment done for clinical reasons (i.e. the endoscopy most proximal to the enrolment date and post proximal to annual follow-up visits, if available) with Mayo Endoscopic Score if available</w:t>
      </w:r>
    </w:p>
    <w:p w:rsidR="00F53290" w:rsidRPr="00F53290" w:rsidRDefault="00F53290" w:rsidP="00F53290">
      <w:pPr>
        <w:pStyle w:val="ListParagraph"/>
        <w:numPr>
          <w:ilvl w:val="0"/>
          <w:numId w:val="5"/>
        </w:numPr>
        <w:spacing w:after="120" w:line="240" w:lineRule="auto"/>
        <w:jc w:val="both"/>
        <w:rPr>
          <w:rFonts w:ascii="Times New Roman" w:hAnsi="Times New Roman" w:cs="Times New Roman"/>
          <w:sz w:val="24"/>
          <w:szCs w:val="24"/>
        </w:rPr>
      </w:pPr>
      <w:r w:rsidRPr="00F53290">
        <w:rPr>
          <w:rFonts w:ascii="Times New Roman" w:hAnsi="Times New Roman" w:cs="Times New Roman"/>
          <w:sz w:val="24"/>
          <w:szCs w:val="24"/>
        </w:rPr>
        <w:t>Reports from any cross-sectional imaging reports done before enrolment and between follow-up visits</w:t>
      </w:r>
    </w:p>
    <w:p w:rsidR="003F0954" w:rsidRPr="00EF3776" w:rsidRDefault="00863358" w:rsidP="002F4A00">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Pr="00863358">
        <w:rPr>
          <w:rFonts w:ascii="Times New Roman" w:hAnsi="Times New Roman" w:cs="Times New Roman"/>
          <w:sz w:val="24"/>
          <w:szCs w:val="24"/>
        </w:rPr>
        <w:t xml:space="preserve">omplete blood count </w:t>
      </w:r>
      <w:r>
        <w:rPr>
          <w:rFonts w:ascii="Times New Roman" w:hAnsi="Times New Roman" w:cs="Times New Roman"/>
          <w:sz w:val="24"/>
          <w:szCs w:val="24"/>
        </w:rPr>
        <w:t>(</w:t>
      </w:r>
      <w:r w:rsidR="006C0687" w:rsidRPr="00EF3776">
        <w:rPr>
          <w:rFonts w:ascii="Times New Roman" w:hAnsi="Times New Roman" w:cs="Times New Roman"/>
          <w:sz w:val="24"/>
          <w:szCs w:val="24"/>
        </w:rPr>
        <w:t>CBC</w:t>
      </w:r>
      <w:r>
        <w:rPr>
          <w:rFonts w:ascii="Times New Roman" w:hAnsi="Times New Roman" w:cs="Times New Roman"/>
          <w:sz w:val="24"/>
          <w:szCs w:val="24"/>
        </w:rPr>
        <w:t>)</w:t>
      </w:r>
      <w:r w:rsidR="006C0687" w:rsidRPr="00EF3776">
        <w:rPr>
          <w:rFonts w:ascii="Times New Roman" w:hAnsi="Times New Roman" w:cs="Times New Roman"/>
          <w:sz w:val="24"/>
          <w:szCs w:val="24"/>
        </w:rPr>
        <w:t>, creatinine, urinalysis</w:t>
      </w:r>
      <w:r w:rsidR="00F116BF">
        <w:rPr>
          <w:rFonts w:ascii="Times New Roman" w:hAnsi="Times New Roman" w:cs="Times New Roman"/>
          <w:sz w:val="24"/>
          <w:szCs w:val="24"/>
        </w:rPr>
        <w:t xml:space="preserve"> (if available)</w:t>
      </w:r>
      <w:r w:rsidR="006C0687" w:rsidRPr="00EF3776">
        <w:rPr>
          <w:rFonts w:ascii="Times New Roman" w:hAnsi="Times New Roman" w:cs="Times New Roman"/>
          <w:sz w:val="24"/>
          <w:szCs w:val="24"/>
        </w:rPr>
        <w:t>, ESR</w:t>
      </w:r>
      <w:r>
        <w:rPr>
          <w:rFonts w:ascii="Times New Roman" w:hAnsi="Times New Roman" w:cs="Times New Roman"/>
          <w:sz w:val="24"/>
          <w:szCs w:val="24"/>
        </w:rPr>
        <w:t xml:space="preserve"> (</w:t>
      </w:r>
      <w:r w:rsidRPr="00D133CC">
        <w:rPr>
          <w:rFonts w:ascii="Times New Roman" w:hAnsi="Times New Roman" w:cs="Times New Roman"/>
          <w:sz w:val="24"/>
          <w:szCs w:val="24"/>
        </w:rPr>
        <w:t>erythrocyte sedimentation rate</w:t>
      </w:r>
      <w:r>
        <w:rPr>
          <w:rFonts w:ascii="Times New Roman" w:hAnsi="Times New Roman" w:cs="Times New Roman"/>
          <w:sz w:val="24"/>
          <w:szCs w:val="24"/>
        </w:rPr>
        <w:t>)</w:t>
      </w:r>
      <w:r w:rsidR="006C0687" w:rsidRPr="00EF3776">
        <w:rPr>
          <w:rFonts w:ascii="Times New Roman" w:hAnsi="Times New Roman" w:cs="Times New Roman"/>
          <w:sz w:val="24"/>
          <w:szCs w:val="24"/>
        </w:rPr>
        <w:t>, CRP</w:t>
      </w:r>
      <w:r>
        <w:rPr>
          <w:rFonts w:ascii="Times New Roman" w:hAnsi="Times New Roman" w:cs="Times New Roman"/>
          <w:sz w:val="24"/>
          <w:szCs w:val="24"/>
        </w:rPr>
        <w:t xml:space="preserve"> (C-reactive protein)</w:t>
      </w:r>
      <w:r w:rsidR="00135D64">
        <w:rPr>
          <w:rFonts w:ascii="Times New Roman" w:hAnsi="Times New Roman" w:cs="Times New Roman"/>
          <w:sz w:val="24"/>
          <w:szCs w:val="24"/>
        </w:rPr>
        <w:t xml:space="preserve">, fecal </w:t>
      </w:r>
      <w:r w:rsidR="00135D64" w:rsidRPr="00EF3776">
        <w:rPr>
          <w:rFonts w:ascii="Times New Roman" w:hAnsi="Times New Roman" w:cs="Times New Roman"/>
          <w:sz w:val="24"/>
          <w:szCs w:val="24"/>
        </w:rPr>
        <w:t>calprotectin</w:t>
      </w:r>
      <w:r w:rsidR="00680B16">
        <w:rPr>
          <w:rFonts w:ascii="Times New Roman" w:hAnsi="Times New Roman" w:cs="Times New Roman"/>
          <w:sz w:val="24"/>
          <w:szCs w:val="24"/>
        </w:rPr>
        <w:t xml:space="preserve"> (if available)</w:t>
      </w:r>
      <w:r w:rsidR="00F116BF">
        <w:rPr>
          <w:rFonts w:ascii="Times New Roman" w:hAnsi="Times New Roman" w:cs="Times New Roman"/>
          <w:sz w:val="24"/>
          <w:szCs w:val="24"/>
        </w:rPr>
        <w:t>, drug levels</w:t>
      </w:r>
    </w:p>
    <w:p w:rsidR="00F53290" w:rsidRDefault="00171BA0" w:rsidP="00F53290">
      <w:pPr>
        <w:pStyle w:val="ListParagraph"/>
        <w:numPr>
          <w:ilvl w:val="0"/>
          <w:numId w:val="5"/>
        </w:numPr>
        <w:rPr>
          <w:rFonts w:ascii="Times New Roman" w:hAnsi="Times New Roman" w:cs="Times New Roman"/>
          <w:sz w:val="24"/>
          <w:szCs w:val="24"/>
        </w:rPr>
      </w:pPr>
      <w:r w:rsidRPr="00F53290">
        <w:rPr>
          <w:rFonts w:ascii="Times New Roman" w:hAnsi="Times New Roman" w:cs="Times New Roman"/>
          <w:sz w:val="24"/>
          <w:szCs w:val="24"/>
        </w:rPr>
        <w:t xml:space="preserve">Use of medication: steroids, </w:t>
      </w:r>
      <w:r w:rsidR="00680B16">
        <w:rPr>
          <w:rFonts w:ascii="Times New Roman" w:hAnsi="Times New Roman" w:cs="Times New Roman"/>
          <w:sz w:val="24"/>
          <w:szCs w:val="24"/>
        </w:rPr>
        <w:t xml:space="preserve">non-biologic and biologic </w:t>
      </w:r>
      <w:r w:rsidR="006C0687" w:rsidRPr="00F53290">
        <w:rPr>
          <w:rFonts w:ascii="Times New Roman" w:hAnsi="Times New Roman" w:cs="Times New Roman"/>
          <w:sz w:val="24"/>
          <w:szCs w:val="24"/>
        </w:rPr>
        <w:t>DMARDs</w:t>
      </w:r>
      <w:r w:rsidRPr="00F53290">
        <w:rPr>
          <w:rFonts w:ascii="Times New Roman" w:hAnsi="Times New Roman" w:cs="Times New Roman"/>
          <w:sz w:val="24"/>
          <w:szCs w:val="24"/>
        </w:rPr>
        <w:t>, non-steroidal anti-inflammatory drugs (</w:t>
      </w:r>
      <w:r w:rsidR="00DC1339" w:rsidRPr="00F53290">
        <w:rPr>
          <w:rFonts w:ascii="Times New Roman" w:hAnsi="Times New Roman" w:cs="Times New Roman"/>
          <w:sz w:val="24"/>
          <w:szCs w:val="24"/>
        </w:rPr>
        <w:t>NSAIDs</w:t>
      </w:r>
      <w:r w:rsidRPr="00F53290">
        <w:rPr>
          <w:rFonts w:ascii="Times New Roman" w:hAnsi="Times New Roman" w:cs="Times New Roman"/>
          <w:sz w:val="24"/>
          <w:szCs w:val="24"/>
        </w:rPr>
        <w:t>), cyclo-oxygenase-II inhibitors (COXIBs)</w:t>
      </w:r>
      <w:r w:rsidR="00F53290" w:rsidRPr="00F53290">
        <w:rPr>
          <w:rFonts w:ascii="Times New Roman" w:hAnsi="Times New Roman" w:cs="Times New Roman"/>
          <w:sz w:val="24"/>
          <w:szCs w:val="24"/>
        </w:rPr>
        <w:t>, budesonide, 5-aminosalicylates (oral and rectal)</w:t>
      </w:r>
    </w:p>
    <w:p w:rsidR="009C3385" w:rsidRPr="009C3385" w:rsidRDefault="009C3385" w:rsidP="009C3385">
      <w:pPr>
        <w:pStyle w:val="ListParagraph"/>
        <w:numPr>
          <w:ilvl w:val="0"/>
          <w:numId w:val="5"/>
        </w:numPr>
        <w:jc w:val="both"/>
        <w:rPr>
          <w:rFonts w:ascii="Times New Roman" w:hAnsi="Times New Roman" w:cs="Times New Roman"/>
          <w:sz w:val="24"/>
        </w:rPr>
      </w:pPr>
      <w:r w:rsidRPr="009C3385">
        <w:rPr>
          <w:rFonts w:ascii="Times New Roman" w:hAnsi="Times New Roman" w:cs="Times New Roman"/>
          <w:sz w:val="24"/>
        </w:rPr>
        <w:t>Data on therapy drug monitoring</w:t>
      </w:r>
      <w:r w:rsidR="005F2702">
        <w:rPr>
          <w:rFonts w:ascii="Times New Roman" w:hAnsi="Times New Roman" w:cs="Times New Roman"/>
          <w:sz w:val="24"/>
        </w:rPr>
        <w:t xml:space="preserve"> (if available)</w:t>
      </w:r>
      <w:r w:rsidRPr="009C3385">
        <w:rPr>
          <w:rFonts w:ascii="Times New Roman" w:hAnsi="Times New Roman" w:cs="Times New Roman"/>
          <w:sz w:val="24"/>
        </w:rPr>
        <w:t>: any measurements of medication concentration in blood (for biologic/biosimilar)</w:t>
      </w:r>
    </w:p>
    <w:p w:rsidR="00815F0D" w:rsidRPr="00EF3776" w:rsidRDefault="00815F0D" w:rsidP="002F4A00">
      <w:pPr>
        <w:pStyle w:val="ListParagraph"/>
        <w:numPr>
          <w:ilvl w:val="0"/>
          <w:numId w:val="5"/>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Reason for discontinuation/switching medication</w:t>
      </w:r>
      <w:r w:rsidR="006C0687" w:rsidRPr="00EF3776">
        <w:rPr>
          <w:rFonts w:ascii="Times New Roman" w:hAnsi="Times New Roman" w:cs="Times New Roman"/>
          <w:sz w:val="24"/>
          <w:szCs w:val="24"/>
        </w:rPr>
        <w:t>s</w:t>
      </w:r>
      <w:r w:rsidR="00910F3A" w:rsidRPr="00EF3776">
        <w:rPr>
          <w:rFonts w:ascii="Times New Roman" w:hAnsi="Times New Roman" w:cs="Times New Roman"/>
          <w:sz w:val="24"/>
          <w:szCs w:val="24"/>
        </w:rPr>
        <w:t xml:space="preserve">, </w:t>
      </w:r>
      <w:r w:rsidR="008D18A2" w:rsidRPr="00EF3776">
        <w:rPr>
          <w:rFonts w:ascii="Times New Roman" w:hAnsi="Times New Roman" w:cs="Times New Roman"/>
          <w:sz w:val="24"/>
          <w:szCs w:val="24"/>
        </w:rPr>
        <w:t>recorded by the physician at follow-up visit</w:t>
      </w:r>
      <w:r w:rsidR="00910F3A" w:rsidRPr="00EF3776">
        <w:rPr>
          <w:rFonts w:ascii="Times New Roman" w:hAnsi="Times New Roman" w:cs="Times New Roman"/>
          <w:sz w:val="24"/>
          <w:szCs w:val="24"/>
        </w:rPr>
        <w:t>s</w:t>
      </w:r>
    </w:p>
    <w:p w:rsidR="004B39F5" w:rsidRDefault="004B39F5" w:rsidP="002F4A00">
      <w:pPr>
        <w:pStyle w:val="ListParagraph"/>
        <w:numPr>
          <w:ilvl w:val="0"/>
          <w:numId w:val="5"/>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Occurrence of AEs and serious AEs</w:t>
      </w:r>
      <w:r w:rsidR="0072183D" w:rsidRPr="00EF3776">
        <w:rPr>
          <w:rFonts w:ascii="Times New Roman" w:hAnsi="Times New Roman" w:cs="Times New Roman"/>
          <w:sz w:val="24"/>
          <w:szCs w:val="24"/>
        </w:rPr>
        <w:t xml:space="preserve"> (see below for details)</w:t>
      </w:r>
    </w:p>
    <w:p w:rsidR="00334786" w:rsidRPr="00B921F1" w:rsidRDefault="00C24A7B" w:rsidP="00893598">
      <w:pPr>
        <w:pStyle w:val="ListParagraph"/>
        <w:numPr>
          <w:ilvl w:val="0"/>
          <w:numId w:val="5"/>
        </w:numPr>
        <w:spacing w:after="120" w:line="240" w:lineRule="auto"/>
        <w:jc w:val="both"/>
        <w:rPr>
          <w:rFonts w:ascii="Times New Roman" w:hAnsi="Times New Roman" w:cs="Times New Roman"/>
          <w:color w:val="000000" w:themeColor="text1"/>
          <w:sz w:val="24"/>
          <w:szCs w:val="24"/>
        </w:rPr>
      </w:pPr>
      <w:r w:rsidRPr="00B921F1">
        <w:rPr>
          <w:rFonts w:ascii="Times New Roman" w:hAnsi="Times New Roman" w:cs="Times New Roman"/>
          <w:color w:val="000000" w:themeColor="text1"/>
          <w:sz w:val="24"/>
          <w:szCs w:val="24"/>
        </w:rPr>
        <w:lastRenderedPageBreak/>
        <w:t>Use of h</w:t>
      </w:r>
      <w:r w:rsidR="002E0C8E" w:rsidRPr="00B921F1">
        <w:rPr>
          <w:rFonts w:ascii="Times New Roman" w:hAnsi="Times New Roman" w:cs="Times New Roman"/>
          <w:color w:val="000000" w:themeColor="text1"/>
          <w:sz w:val="24"/>
          <w:szCs w:val="24"/>
        </w:rPr>
        <w:t xml:space="preserve">ealthcare </w:t>
      </w:r>
      <w:r w:rsidRPr="00B921F1">
        <w:rPr>
          <w:rFonts w:ascii="Times New Roman" w:hAnsi="Times New Roman" w:cs="Times New Roman"/>
          <w:color w:val="000000" w:themeColor="text1"/>
          <w:sz w:val="24"/>
          <w:szCs w:val="24"/>
        </w:rPr>
        <w:t>services</w:t>
      </w:r>
      <w:r w:rsidR="00680B16">
        <w:rPr>
          <w:rFonts w:ascii="Times New Roman" w:hAnsi="Times New Roman" w:cs="Times New Roman"/>
          <w:color w:val="000000" w:themeColor="text1"/>
          <w:sz w:val="24"/>
          <w:szCs w:val="24"/>
        </w:rPr>
        <w:t xml:space="preserve"> between follow-up visits</w:t>
      </w:r>
      <w:r w:rsidR="002E0C8E" w:rsidRPr="00B921F1">
        <w:rPr>
          <w:rFonts w:ascii="Times New Roman" w:hAnsi="Times New Roman" w:cs="Times New Roman"/>
          <w:color w:val="000000" w:themeColor="text1"/>
          <w:sz w:val="24"/>
          <w:szCs w:val="24"/>
        </w:rPr>
        <w:t>, such as physician visits and h</w:t>
      </w:r>
      <w:r w:rsidR="004B39F5" w:rsidRPr="00B921F1">
        <w:rPr>
          <w:rFonts w:ascii="Times New Roman" w:hAnsi="Times New Roman" w:cs="Times New Roman"/>
          <w:color w:val="000000" w:themeColor="text1"/>
          <w:sz w:val="24"/>
          <w:szCs w:val="24"/>
        </w:rPr>
        <w:t>ospitalization</w:t>
      </w:r>
      <w:r w:rsidR="00347A49" w:rsidRPr="00B921F1">
        <w:rPr>
          <w:rFonts w:ascii="Times New Roman" w:hAnsi="Times New Roman" w:cs="Times New Roman"/>
          <w:color w:val="000000" w:themeColor="text1"/>
          <w:sz w:val="24"/>
          <w:szCs w:val="24"/>
        </w:rPr>
        <w:t xml:space="preserve"> data</w:t>
      </w:r>
      <w:r w:rsidR="002E0C8E" w:rsidRPr="00B921F1">
        <w:rPr>
          <w:rFonts w:ascii="Times New Roman" w:hAnsi="Times New Roman" w:cs="Times New Roman"/>
          <w:color w:val="000000" w:themeColor="text1"/>
          <w:sz w:val="24"/>
          <w:szCs w:val="24"/>
        </w:rPr>
        <w:t xml:space="preserve"> with details on </w:t>
      </w:r>
      <w:r w:rsidR="00910F3A" w:rsidRPr="00B921F1">
        <w:rPr>
          <w:rFonts w:ascii="Times New Roman" w:hAnsi="Times New Roman" w:cs="Times New Roman"/>
          <w:color w:val="000000" w:themeColor="text1"/>
          <w:sz w:val="24"/>
          <w:szCs w:val="24"/>
        </w:rPr>
        <w:t xml:space="preserve">primary and non-primary </w:t>
      </w:r>
      <w:r w:rsidR="00347A49" w:rsidRPr="00B921F1">
        <w:rPr>
          <w:rFonts w:ascii="Times New Roman" w:hAnsi="Times New Roman" w:cs="Times New Roman"/>
          <w:color w:val="000000" w:themeColor="text1"/>
          <w:sz w:val="24"/>
          <w:szCs w:val="24"/>
        </w:rPr>
        <w:t>admission diagnos</w:t>
      </w:r>
      <w:r w:rsidR="00910F3A" w:rsidRPr="00B921F1">
        <w:rPr>
          <w:rFonts w:ascii="Times New Roman" w:hAnsi="Times New Roman" w:cs="Times New Roman"/>
          <w:color w:val="000000" w:themeColor="text1"/>
          <w:sz w:val="24"/>
          <w:szCs w:val="24"/>
        </w:rPr>
        <w:t>e</w:t>
      </w:r>
      <w:r w:rsidR="00347A49" w:rsidRPr="00B921F1">
        <w:rPr>
          <w:rFonts w:ascii="Times New Roman" w:hAnsi="Times New Roman" w:cs="Times New Roman"/>
          <w:color w:val="000000" w:themeColor="text1"/>
          <w:sz w:val="24"/>
          <w:szCs w:val="24"/>
        </w:rPr>
        <w:t>s and length of s</w:t>
      </w:r>
      <w:r w:rsidR="00A310ED" w:rsidRPr="00B921F1">
        <w:rPr>
          <w:rFonts w:ascii="Times New Roman" w:hAnsi="Times New Roman" w:cs="Times New Roman"/>
          <w:color w:val="000000" w:themeColor="text1"/>
          <w:sz w:val="24"/>
          <w:szCs w:val="24"/>
        </w:rPr>
        <w:t>tay</w:t>
      </w:r>
    </w:p>
    <w:p w:rsidR="00504BA7" w:rsidRPr="00FD329D" w:rsidRDefault="00334786" w:rsidP="002F4A00">
      <w:pPr>
        <w:spacing w:after="120" w:line="240" w:lineRule="auto"/>
        <w:jc w:val="both"/>
        <w:rPr>
          <w:rFonts w:ascii="Times New Roman" w:hAnsi="Times New Roman" w:cs="Times New Roman"/>
          <w:sz w:val="24"/>
          <w:szCs w:val="24"/>
          <w:u w:val="single"/>
        </w:rPr>
      </w:pPr>
      <w:r w:rsidRPr="00863358">
        <w:rPr>
          <w:rFonts w:ascii="Times New Roman" w:hAnsi="Times New Roman" w:cs="Times New Roman"/>
          <w:i/>
          <w:sz w:val="24"/>
          <w:szCs w:val="24"/>
        </w:rPr>
        <w:t>Effectiveness Outcomes</w:t>
      </w:r>
      <w:r w:rsidR="00532FD6">
        <w:rPr>
          <w:rFonts w:ascii="Times New Roman" w:hAnsi="Times New Roman" w:cs="Times New Roman"/>
          <w:i/>
          <w:sz w:val="24"/>
          <w:szCs w:val="24"/>
        </w:rPr>
        <w:t xml:space="preserve"> </w:t>
      </w:r>
    </w:p>
    <w:p w:rsidR="00334786" w:rsidRPr="007874E9" w:rsidRDefault="00334786" w:rsidP="002F4A00">
      <w:pPr>
        <w:spacing w:after="120" w:line="240" w:lineRule="auto"/>
        <w:jc w:val="both"/>
        <w:rPr>
          <w:rFonts w:ascii="Times New Roman" w:hAnsi="Times New Roman" w:cs="Times New Roman"/>
          <w:sz w:val="24"/>
          <w:szCs w:val="24"/>
        </w:rPr>
      </w:pPr>
      <w:r w:rsidRPr="00FD329D">
        <w:rPr>
          <w:rFonts w:ascii="Times New Roman" w:hAnsi="Times New Roman" w:cs="Times New Roman"/>
          <w:sz w:val="24"/>
          <w:szCs w:val="24"/>
        </w:rPr>
        <w:t>In each of the four condi</w:t>
      </w:r>
      <w:r w:rsidRPr="007874E9">
        <w:rPr>
          <w:rFonts w:ascii="Times New Roman" w:hAnsi="Times New Roman" w:cs="Times New Roman"/>
          <w:sz w:val="24"/>
          <w:szCs w:val="24"/>
        </w:rPr>
        <w:t>tions</w:t>
      </w:r>
      <w:r w:rsidR="002736DF">
        <w:rPr>
          <w:rFonts w:ascii="Times New Roman" w:hAnsi="Times New Roman" w:cs="Times New Roman"/>
          <w:sz w:val="24"/>
          <w:szCs w:val="24"/>
        </w:rPr>
        <w:t xml:space="preserve"> (RA, AS, CD, UC)</w:t>
      </w:r>
      <w:r w:rsidRPr="007874E9">
        <w:rPr>
          <w:rFonts w:ascii="Times New Roman" w:hAnsi="Times New Roman" w:cs="Times New Roman"/>
          <w:sz w:val="24"/>
          <w:szCs w:val="24"/>
        </w:rPr>
        <w:t xml:space="preserve">, the primary outcome will be persistence on treatment, measured as time from cohort entry until the occurrence of the first discontinuation. This of course is not a pure measure of effectiveness but rather combines elements of both safety and effectiveness (since patients discontinue for both reasons). </w:t>
      </w:r>
    </w:p>
    <w:p w:rsidR="00334786" w:rsidRPr="007137C2" w:rsidRDefault="00334786" w:rsidP="002F4A00">
      <w:pPr>
        <w:spacing w:after="120" w:line="240" w:lineRule="auto"/>
        <w:jc w:val="both"/>
        <w:rPr>
          <w:rFonts w:ascii="Times New Roman" w:hAnsi="Times New Roman" w:cs="Times New Roman"/>
          <w:sz w:val="24"/>
          <w:szCs w:val="24"/>
        </w:rPr>
      </w:pPr>
      <w:r w:rsidRPr="007874E9">
        <w:rPr>
          <w:rFonts w:ascii="Times New Roman" w:hAnsi="Times New Roman" w:cs="Times New Roman"/>
          <w:sz w:val="24"/>
          <w:szCs w:val="24"/>
        </w:rPr>
        <w:t>Additional primary effectiveness outcomes will be cli</w:t>
      </w:r>
      <w:r w:rsidR="00FB6AE5">
        <w:rPr>
          <w:rFonts w:ascii="Times New Roman" w:hAnsi="Times New Roman" w:cs="Times New Roman"/>
          <w:sz w:val="24"/>
          <w:szCs w:val="24"/>
        </w:rPr>
        <w:t>nical remission</w:t>
      </w:r>
      <w:r w:rsidR="002F4A00">
        <w:rPr>
          <w:rFonts w:ascii="Times New Roman" w:hAnsi="Times New Roman" w:cs="Times New Roman"/>
          <w:sz w:val="24"/>
          <w:szCs w:val="24"/>
        </w:rPr>
        <w:t>, improvement, or induction of response,</w:t>
      </w:r>
      <w:r w:rsidR="00FB6AE5">
        <w:rPr>
          <w:rFonts w:ascii="Times New Roman" w:hAnsi="Times New Roman" w:cs="Times New Roman"/>
          <w:sz w:val="24"/>
          <w:szCs w:val="24"/>
        </w:rPr>
        <w:t xml:space="preserve"> as outlined in T</w:t>
      </w:r>
      <w:r w:rsidRPr="007874E9">
        <w:rPr>
          <w:rFonts w:ascii="Times New Roman" w:hAnsi="Times New Roman" w:cs="Times New Roman"/>
          <w:sz w:val="24"/>
          <w:szCs w:val="24"/>
        </w:rPr>
        <w:t xml:space="preserve">able </w:t>
      </w:r>
      <w:r w:rsidR="000C5FE5">
        <w:rPr>
          <w:rFonts w:ascii="Times New Roman" w:hAnsi="Times New Roman" w:cs="Times New Roman"/>
          <w:sz w:val="24"/>
          <w:szCs w:val="24"/>
        </w:rPr>
        <w:t>1</w:t>
      </w:r>
      <w:r w:rsidRPr="007874E9">
        <w:rPr>
          <w:rFonts w:ascii="Times New Roman" w:hAnsi="Times New Roman" w:cs="Times New Roman"/>
          <w:sz w:val="24"/>
          <w:szCs w:val="24"/>
        </w:rPr>
        <w:t xml:space="preserve">. Secondary outcomes include sustained remission/maintenance of </w:t>
      </w:r>
      <w:r w:rsidR="002F4A00">
        <w:rPr>
          <w:rFonts w:ascii="Times New Roman" w:hAnsi="Times New Roman" w:cs="Times New Roman"/>
          <w:sz w:val="24"/>
          <w:szCs w:val="24"/>
        </w:rPr>
        <w:t xml:space="preserve">response </w:t>
      </w:r>
      <w:r w:rsidRPr="007874E9">
        <w:rPr>
          <w:rFonts w:ascii="Times New Roman" w:hAnsi="Times New Roman" w:cs="Times New Roman"/>
          <w:sz w:val="24"/>
          <w:szCs w:val="24"/>
        </w:rPr>
        <w:t>(</w:t>
      </w:r>
      <w:r w:rsidR="00FB6AE5">
        <w:rPr>
          <w:rFonts w:ascii="Times New Roman" w:hAnsi="Times New Roman" w:cs="Times New Roman"/>
          <w:sz w:val="24"/>
          <w:szCs w:val="24"/>
        </w:rPr>
        <w:t xml:space="preserve">also included in </w:t>
      </w:r>
      <w:r w:rsidRPr="007874E9">
        <w:rPr>
          <w:rFonts w:ascii="Times New Roman" w:hAnsi="Times New Roman" w:cs="Times New Roman"/>
          <w:sz w:val="24"/>
          <w:szCs w:val="24"/>
        </w:rPr>
        <w:t xml:space="preserve">Table </w:t>
      </w:r>
      <w:r w:rsidR="009F0A24" w:rsidRPr="00EF3776">
        <w:rPr>
          <w:rFonts w:ascii="Times New Roman" w:hAnsi="Times New Roman" w:cs="Times New Roman"/>
          <w:sz w:val="24"/>
          <w:szCs w:val="24"/>
        </w:rPr>
        <w:t>1</w:t>
      </w:r>
      <w:r w:rsidR="007874E9">
        <w:rPr>
          <w:rFonts w:ascii="Times New Roman" w:hAnsi="Times New Roman" w:cs="Times New Roman"/>
          <w:sz w:val="24"/>
          <w:szCs w:val="24"/>
        </w:rPr>
        <w:t xml:space="preserve">). </w:t>
      </w:r>
      <w:r w:rsidRPr="007137C2">
        <w:rPr>
          <w:rFonts w:ascii="Times New Roman" w:hAnsi="Times New Roman" w:cs="Times New Roman"/>
          <w:sz w:val="24"/>
          <w:szCs w:val="24"/>
        </w:rPr>
        <w:t>The measures</w:t>
      </w:r>
      <w:r w:rsidR="00FB6AE5">
        <w:rPr>
          <w:rFonts w:ascii="Times New Roman" w:hAnsi="Times New Roman" w:cs="Times New Roman"/>
          <w:sz w:val="24"/>
          <w:szCs w:val="24"/>
        </w:rPr>
        <w:t xml:space="preserve"> </w:t>
      </w:r>
      <w:r w:rsidR="002F4A00">
        <w:rPr>
          <w:rFonts w:ascii="Times New Roman" w:hAnsi="Times New Roman" w:cs="Times New Roman"/>
          <w:sz w:val="24"/>
          <w:szCs w:val="24"/>
        </w:rPr>
        <w:t xml:space="preserve">of remission/improvement/induction of response </w:t>
      </w:r>
      <w:r w:rsidRPr="007137C2">
        <w:rPr>
          <w:rFonts w:ascii="Times New Roman" w:hAnsi="Times New Roman" w:cs="Times New Roman"/>
          <w:sz w:val="24"/>
          <w:szCs w:val="24"/>
        </w:rPr>
        <w:t>include:</w:t>
      </w:r>
    </w:p>
    <w:p w:rsidR="00334786" w:rsidRPr="00EF3776" w:rsidRDefault="00334786" w:rsidP="002F4A00">
      <w:pPr>
        <w:pStyle w:val="ListParagraph"/>
        <w:numPr>
          <w:ilvl w:val="0"/>
          <w:numId w:val="5"/>
        </w:num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For RA, DAS28-CRP or DAS28-ESR, and SDAI</w:t>
      </w:r>
    </w:p>
    <w:p w:rsidR="00334786" w:rsidRPr="002455C1" w:rsidRDefault="00DC33AA" w:rsidP="002F4A00">
      <w:pPr>
        <w:pStyle w:val="ListParagraph"/>
        <w:numPr>
          <w:ilvl w:val="0"/>
          <w:numId w:val="5"/>
        </w:numPr>
        <w:spacing w:after="12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For AS, ASAS20 Response Criteria and </w:t>
      </w:r>
      <w:r w:rsidR="00334786" w:rsidRPr="002455C1">
        <w:rPr>
          <w:rFonts w:ascii="Times New Roman" w:hAnsi="Times New Roman" w:cs="Times New Roman"/>
          <w:sz w:val="24"/>
          <w:szCs w:val="24"/>
          <w:lang w:val="pt-BR"/>
        </w:rPr>
        <w:t>ASDAS</w:t>
      </w:r>
    </w:p>
    <w:p w:rsidR="00334786" w:rsidRPr="00EF3776" w:rsidRDefault="00DC33AA" w:rsidP="002F4A00">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 CD, CDAI</w:t>
      </w:r>
      <w:r w:rsidR="00246123">
        <w:rPr>
          <w:rFonts w:ascii="Times New Roman" w:hAnsi="Times New Roman" w:cs="Times New Roman"/>
          <w:sz w:val="24"/>
          <w:szCs w:val="24"/>
        </w:rPr>
        <w:t xml:space="preserve"> and HBI</w:t>
      </w:r>
    </w:p>
    <w:p w:rsidR="00334786" w:rsidRPr="00BA4275" w:rsidRDefault="00334786" w:rsidP="002F4A00">
      <w:pPr>
        <w:pStyle w:val="ListParagraph"/>
        <w:numPr>
          <w:ilvl w:val="0"/>
          <w:numId w:val="5"/>
        </w:numPr>
        <w:spacing w:after="120" w:line="240" w:lineRule="auto"/>
        <w:jc w:val="both"/>
        <w:rPr>
          <w:rFonts w:ascii="Times New Roman" w:hAnsi="Times New Roman" w:cs="Times New Roman"/>
          <w:sz w:val="24"/>
          <w:szCs w:val="24"/>
        </w:rPr>
      </w:pPr>
      <w:r w:rsidRPr="00BA4275">
        <w:rPr>
          <w:rFonts w:ascii="Times New Roman" w:hAnsi="Times New Roman" w:cs="Times New Roman"/>
          <w:sz w:val="24"/>
          <w:szCs w:val="24"/>
        </w:rPr>
        <w:t xml:space="preserve">For UC, Mayo </w:t>
      </w:r>
      <w:r w:rsidR="00DC33AA" w:rsidRPr="00BA4275">
        <w:rPr>
          <w:rFonts w:ascii="Times New Roman" w:hAnsi="Times New Roman" w:cs="Times New Roman"/>
          <w:sz w:val="24"/>
          <w:szCs w:val="24"/>
        </w:rPr>
        <w:t>Score</w:t>
      </w:r>
    </w:p>
    <w:p w:rsidR="00334786" w:rsidRPr="00BA4275" w:rsidRDefault="00334786" w:rsidP="002F4A00">
      <w:pPr>
        <w:spacing w:after="120" w:line="240" w:lineRule="auto"/>
        <w:jc w:val="both"/>
        <w:rPr>
          <w:rFonts w:ascii="Times New Roman" w:hAnsi="Times New Roman" w:cs="Times New Roman"/>
          <w:sz w:val="24"/>
          <w:szCs w:val="24"/>
        </w:rPr>
      </w:pPr>
      <w:r w:rsidRPr="00BA4275">
        <w:rPr>
          <w:rFonts w:ascii="Times New Roman" w:hAnsi="Times New Roman" w:cs="Times New Roman"/>
          <w:sz w:val="24"/>
          <w:szCs w:val="24"/>
        </w:rPr>
        <w:t xml:space="preserve">Table </w:t>
      </w:r>
      <w:r w:rsidR="009F0A24" w:rsidRPr="00BA4275">
        <w:rPr>
          <w:rFonts w:ascii="Times New Roman" w:hAnsi="Times New Roman" w:cs="Times New Roman"/>
          <w:sz w:val="24"/>
          <w:szCs w:val="24"/>
        </w:rPr>
        <w:t>1</w:t>
      </w:r>
      <w:r w:rsidRPr="00BA4275">
        <w:rPr>
          <w:rFonts w:ascii="Times New Roman" w:hAnsi="Times New Roman" w:cs="Times New Roman"/>
          <w:sz w:val="24"/>
          <w:szCs w:val="24"/>
        </w:rPr>
        <w:t xml:space="preserve"> – Definitions for clinical outcomes</w:t>
      </w:r>
    </w:p>
    <w:tbl>
      <w:tblPr>
        <w:tblStyle w:val="TableGrid"/>
        <w:tblW w:w="0" w:type="auto"/>
        <w:tblInd w:w="108" w:type="dxa"/>
        <w:tblLook w:val="04A0" w:firstRow="1" w:lastRow="0" w:firstColumn="1" w:lastColumn="0" w:noHBand="0" w:noVBand="1"/>
      </w:tblPr>
      <w:tblGrid>
        <w:gridCol w:w="2042"/>
        <w:gridCol w:w="1244"/>
        <w:gridCol w:w="6182"/>
      </w:tblGrid>
      <w:tr w:rsidR="00334786" w:rsidRPr="00BA4275" w:rsidTr="00030725">
        <w:tc>
          <w:tcPr>
            <w:tcW w:w="0" w:type="auto"/>
            <w:shd w:val="clear" w:color="auto" w:fill="A6A6A6" w:themeFill="background1" w:themeFillShade="A6"/>
          </w:tcPr>
          <w:p w:rsidR="00334786" w:rsidRPr="00BA4275" w:rsidRDefault="00334786" w:rsidP="002F4A00">
            <w:pPr>
              <w:spacing w:after="120"/>
              <w:jc w:val="both"/>
              <w:rPr>
                <w:rFonts w:ascii="Times New Roman" w:hAnsi="Times New Roman" w:cs="Times New Roman"/>
                <w:b/>
                <w:sz w:val="24"/>
                <w:szCs w:val="24"/>
              </w:rPr>
            </w:pPr>
            <w:r w:rsidRPr="00BA4275">
              <w:rPr>
                <w:rFonts w:ascii="Times New Roman" w:hAnsi="Times New Roman" w:cs="Times New Roman"/>
                <w:b/>
                <w:sz w:val="24"/>
                <w:szCs w:val="24"/>
              </w:rPr>
              <w:t>Outcome</w:t>
            </w:r>
          </w:p>
        </w:tc>
        <w:tc>
          <w:tcPr>
            <w:tcW w:w="0" w:type="auto"/>
            <w:shd w:val="clear" w:color="auto" w:fill="A6A6A6" w:themeFill="background1" w:themeFillShade="A6"/>
          </w:tcPr>
          <w:p w:rsidR="00334786" w:rsidRPr="00BA4275" w:rsidRDefault="00334786" w:rsidP="002F4A00">
            <w:pPr>
              <w:spacing w:after="120"/>
              <w:jc w:val="both"/>
              <w:rPr>
                <w:rFonts w:ascii="Times New Roman" w:hAnsi="Times New Roman" w:cs="Times New Roman"/>
                <w:b/>
                <w:sz w:val="24"/>
                <w:szCs w:val="24"/>
              </w:rPr>
            </w:pPr>
            <w:r w:rsidRPr="00BA4275">
              <w:rPr>
                <w:rFonts w:ascii="Times New Roman" w:hAnsi="Times New Roman" w:cs="Times New Roman"/>
                <w:b/>
                <w:sz w:val="24"/>
                <w:szCs w:val="24"/>
              </w:rPr>
              <w:t>Condition</w:t>
            </w:r>
          </w:p>
        </w:tc>
        <w:tc>
          <w:tcPr>
            <w:tcW w:w="0" w:type="auto"/>
            <w:shd w:val="clear" w:color="auto" w:fill="A6A6A6" w:themeFill="background1" w:themeFillShade="A6"/>
          </w:tcPr>
          <w:p w:rsidR="00334786" w:rsidRPr="00BA4275" w:rsidRDefault="00334786" w:rsidP="002F4A00">
            <w:pPr>
              <w:spacing w:after="120"/>
              <w:jc w:val="both"/>
              <w:rPr>
                <w:rFonts w:ascii="Times New Roman" w:hAnsi="Times New Roman" w:cs="Times New Roman"/>
                <w:b/>
                <w:sz w:val="24"/>
                <w:szCs w:val="24"/>
              </w:rPr>
            </w:pPr>
            <w:r w:rsidRPr="00BA4275">
              <w:rPr>
                <w:rFonts w:ascii="Times New Roman" w:hAnsi="Times New Roman" w:cs="Times New Roman"/>
                <w:b/>
                <w:sz w:val="24"/>
                <w:szCs w:val="24"/>
              </w:rPr>
              <w:t>Definition</w:t>
            </w:r>
          </w:p>
        </w:tc>
      </w:tr>
      <w:tr w:rsidR="00334786" w:rsidRPr="008810DE" w:rsidTr="00030725">
        <w:trPr>
          <w:trHeight w:val="778"/>
        </w:trPr>
        <w:tc>
          <w:tcPr>
            <w:tcW w:w="0" w:type="auto"/>
          </w:tcPr>
          <w:p w:rsidR="00334786" w:rsidRPr="00BA4275" w:rsidRDefault="00334786" w:rsidP="002F4A00">
            <w:pPr>
              <w:spacing w:after="120"/>
              <w:rPr>
                <w:rFonts w:ascii="Times New Roman" w:hAnsi="Times New Roman" w:cs="Times New Roman"/>
                <w:sz w:val="24"/>
                <w:szCs w:val="24"/>
              </w:rPr>
            </w:pPr>
            <w:r w:rsidRPr="00BA4275">
              <w:rPr>
                <w:rFonts w:ascii="Times New Roman" w:hAnsi="Times New Roman" w:cs="Times New Roman"/>
                <w:sz w:val="24"/>
                <w:szCs w:val="24"/>
              </w:rPr>
              <w:t>Remission or low disease activity (LDA)</w:t>
            </w:r>
          </w:p>
        </w:tc>
        <w:tc>
          <w:tcPr>
            <w:tcW w:w="0" w:type="auto"/>
          </w:tcPr>
          <w:p w:rsidR="00334786" w:rsidRPr="00BA4275" w:rsidRDefault="00334786"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lang w:val="pt-BR"/>
              </w:rPr>
              <w:t>RA</w:t>
            </w:r>
            <w:r w:rsidRPr="00BA4275">
              <w:rPr>
                <w:rFonts w:ascii="Times New Roman" w:hAnsi="Times New Roman" w:cs="Times New Roman"/>
                <w:sz w:val="24"/>
                <w:szCs w:val="24"/>
              </w:rPr>
              <w:t xml:space="preserve"> </w:t>
            </w:r>
          </w:p>
          <w:p w:rsidR="00334786" w:rsidRPr="00BA4275" w:rsidRDefault="00334786" w:rsidP="002F4A00">
            <w:pPr>
              <w:spacing w:after="120"/>
              <w:jc w:val="both"/>
              <w:rPr>
                <w:rFonts w:ascii="Times New Roman" w:hAnsi="Times New Roman" w:cs="Times New Roman"/>
                <w:sz w:val="24"/>
                <w:szCs w:val="24"/>
              </w:rPr>
            </w:pPr>
          </w:p>
        </w:tc>
        <w:tc>
          <w:tcPr>
            <w:tcW w:w="0" w:type="auto"/>
          </w:tcPr>
          <w:p w:rsidR="00334786" w:rsidRPr="00D34717" w:rsidRDefault="007E54A2" w:rsidP="002F4A00">
            <w:pPr>
              <w:spacing w:after="120"/>
              <w:jc w:val="both"/>
              <w:rPr>
                <w:rFonts w:ascii="Times New Roman" w:hAnsi="Times New Roman" w:cs="Times New Roman"/>
                <w:sz w:val="24"/>
                <w:szCs w:val="24"/>
                <w:lang w:val="pt-BR"/>
              </w:rPr>
            </w:pPr>
            <w:r w:rsidRPr="00D34717">
              <w:rPr>
                <w:rFonts w:ascii="Times New Roman" w:hAnsi="Times New Roman" w:cs="Times New Roman"/>
                <w:sz w:val="24"/>
                <w:szCs w:val="24"/>
                <w:lang w:val="pt-BR"/>
              </w:rPr>
              <w:t>Remission: DAS28-CRP</w:t>
            </w:r>
            <w:r w:rsidR="009876CD" w:rsidRPr="00D34717">
              <w:rPr>
                <w:rFonts w:ascii="Times New Roman" w:hAnsi="Times New Roman" w:cs="Times New Roman"/>
                <w:sz w:val="24"/>
                <w:szCs w:val="24"/>
                <w:lang w:val="pt-BR"/>
              </w:rPr>
              <w:t>&lt;</w:t>
            </w:r>
            <w:r w:rsidRPr="00D34717">
              <w:rPr>
                <w:rFonts w:ascii="Times New Roman" w:hAnsi="Times New Roman" w:cs="Times New Roman"/>
                <w:sz w:val="24"/>
                <w:szCs w:val="24"/>
                <w:lang w:val="pt-BR"/>
              </w:rPr>
              <w:t xml:space="preserve">2.4, </w:t>
            </w:r>
            <w:r w:rsidR="00334786" w:rsidRPr="00D34717">
              <w:rPr>
                <w:rFonts w:ascii="Times New Roman" w:hAnsi="Times New Roman" w:cs="Times New Roman"/>
                <w:sz w:val="24"/>
                <w:szCs w:val="24"/>
                <w:lang w:val="pt-BR"/>
              </w:rPr>
              <w:t>DAS28-ESR&lt;2.6</w:t>
            </w:r>
            <w:r w:rsidRPr="00D34717">
              <w:rPr>
                <w:rFonts w:ascii="Times New Roman" w:hAnsi="Times New Roman" w:cs="Times New Roman"/>
                <w:sz w:val="24"/>
                <w:szCs w:val="24"/>
                <w:lang w:val="pt-BR"/>
              </w:rPr>
              <w:t xml:space="preserve"> and SDAI≤3.3</w:t>
            </w:r>
            <w:r w:rsidR="00334786" w:rsidRPr="00D34717">
              <w:rPr>
                <w:rFonts w:ascii="Times New Roman" w:hAnsi="Times New Roman" w:cs="Times New Roman"/>
                <w:sz w:val="24"/>
                <w:szCs w:val="24"/>
                <w:lang w:val="pt-BR"/>
              </w:rPr>
              <w:t xml:space="preserve"> </w:t>
            </w:r>
            <w:r w:rsidRPr="00D34717">
              <w:rPr>
                <w:rFonts w:ascii="Times New Roman" w:hAnsi="Times New Roman" w:cs="Times New Roman"/>
                <w:sz w:val="24"/>
                <w:szCs w:val="24"/>
                <w:lang w:val="pt-BR"/>
              </w:rPr>
              <w:br/>
            </w:r>
            <w:r w:rsidR="00334786" w:rsidRPr="00D34717">
              <w:rPr>
                <w:rFonts w:ascii="Times New Roman" w:hAnsi="Times New Roman" w:cs="Times New Roman"/>
                <w:sz w:val="24"/>
                <w:szCs w:val="24"/>
                <w:lang w:val="pt-BR"/>
              </w:rPr>
              <w:t>LDA</w:t>
            </w:r>
            <w:r w:rsidRPr="00D34717">
              <w:rPr>
                <w:rFonts w:ascii="Times New Roman" w:hAnsi="Times New Roman" w:cs="Times New Roman"/>
                <w:sz w:val="24"/>
                <w:szCs w:val="24"/>
                <w:lang w:val="pt-BR"/>
              </w:rPr>
              <w:t xml:space="preserve">: DAS28-CRP ≤2.9, DAS28-ESR ≤3.2 and SDAI ≤11.0 </w:t>
            </w:r>
          </w:p>
        </w:tc>
      </w:tr>
      <w:tr w:rsidR="00334786" w:rsidRPr="00BA4275" w:rsidTr="00030725">
        <w:tc>
          <w:tcPr>
            <w:tcW w:w="0" w:type="auto"/>
          </w:tcPr>
          <w:p w:rsidR="00334786" w:rsidRPr="00BA4275" w:rsidRDefault="00334786" w:rsidP="002F4A00">
            <w:pPr>
              <w:spacing w:after="120"/>
              <w:rPr>
                <w:rFonts w:ascii="Times New Roman" w:hAnsi="Times New Roman" w:cs="Times New Roman"/>
                <w:sz w:val="24"/>
                <w:szCs w:val="24"/>
              </w:rPr>
            </w:pPr>
            <w:r w:rsidRPr="00BA4275">
              <w:rPr>
                <w:rFonts w:ascii="Times New Roman" w:hAnsi="Times New Roman" w:cs="Times New Roman"/>
                <w:sz w:val="24"/>
                <w:szCs w:val="24"/>
              </w:rPr>
              <w:t>Disease improvement</w:t>
            </w:r>
          </w:p>
        </w:tc>
        <w:tc>
          <w:tcPr>
            <w:tcW w:w="0" w:type="auto"/>
          </w:tcPr>
          <w:p w:rsidR="00334786" w:rsidRPr="00BA4275" w:rsidRDefault="00334786"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AS</w:t>
            </w:r>
          </w:p>
        </w:tc>
        <w:tc>
          <w:tcPr>
            <w:tcW w:w="0" w:type="auto"/>
          </w:tcPr>
          <w:p w:rsidR="00334786" w:rsidRPr="00BA4275" w:rsidRDefault="00334786"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ASAS Response Criteria (ASAS 20)</w:t>
            </w:r>
            <w:r w:rsidR="007137C2" w:rsidRPr="00BA4275">
              <w:rPr>
                <w:rFonts w:ascii="Times New Roman" w:hAnsi="Times New Roman" w:cs="Times New Roman"/>
                <w:sz w:val="24"/>
                <w:szCs w:val="24"/>
              </w:rPr>
              <w:t>: improvement of at least 20%</w:t>
            </w:r>
            <w:r w:rsidR="00F82B22" w:rsidRPr="00BA4275">
              <w:rPr>
                <w:rFonts w:ascii="Times New Roman" w:hAnsi="Times New Roman" w:cs="Times New Roman"/>
                <w:sz w:val="24"/>
                <w:szCs w:val="24"/>
              </w:rPr>
              <w:t xml:space="preserve"> in three of the four ASAS domain in comparison with the previous measurement.</w:t>
            </w:r>
          </w:p>
        </w:tc>
      </w:tr>
      <w:tr w:rsidR="00334786" w:rsidRPr="00BA4275" w:rsidTr="00030725">
        <w:tc>
          <w:tcPr>
            <w:tcW w:w="0" w:type="auto"/>
            <w:vMerge w:val="restart"/>
          </w:tcPr>
          <w:p w:rsidR="00334786" w:rsidRPr="00BA4275" w:rsidRDefault="00334786" w:rsidP="002F4A00">
            <w:pPr>
              <w:spacing w:after="120"/>
              <w:rPr>
                <w:rFonts w:ascii="Times New Roman" w:hAnsi="Times New Roman" w:cs="Times New Roman"/>
                <w:sz w:val="24"/>
                <w:szCs w:val="24"/>
              </w:rPr>
            </w:pPr>
            <w:r w:rsidRPr="00BA4275">
              <w:rPr>
                <w:rFonts w:ascii="Times New Roman" w:hAnsi="Times New Roman" w:cs="Times New Roman"/>
                <w:sz w:val="24"/>
                <w:szCs w:val="24"/>
              </w:rPr>
              <w:t>Sustained remission</w:t>
            </w:r>
          </w:p>
        </w:tc>
        <w:tc>
          <w:tcPr>
            <w:tcW w:w="0" w:type="auto"/>
          </w:tcPr>
          <w:p w:rsidR="00334786" w:rsidRPr="00BA4275" w:rsidRDefault="00334786" w:rsidP="002F4A00">
            <w:pPr>
              <w:spacing w:after="120"/>
              <w:jc w:val="both"/>
              <w:rPr>
                <w:rFonts w:ascii="Times New Roman" w:hAnsi="Times New Roman" w:cs="Times New Roman"/>
                <w:sz w:val="24"/>
                <w:szCs w:val="24"/>
                <w:lang w:val="pt-BR"/>
              </w:rPr>
            </w:pPr>
            <w:r w:rsidRPr="00BA4275">
              <w:rPr>
                <w:rFonts w:ascii="Times New Roman" w:hAnsi="Times New Roman" w:cs="Times New Roman"/>
                <w:sz w:val="24"/>
                <w:szCs w:val="24"/>
                <w:lang w:val="pt-BR"/>
              </w:rPr>
              <w:t>RA</w:t>
            </w:r>
            <w:r w:rsidRPr="00BA4275">
              <w:rPr>
                <w:rFonts w:ascii="Times New Roman" w:hAnsi="Times New Roman" w:cs="Times New Roman"/>
                <w:sz w:val="24"/>
                <w:szCs w:val="24"/>
              </w:rPr>
              <w:t xml:space="preserve"> </w:t>
            </w:r>
          </w:p>
        </w:tc>
        <w:tc>
          <w:tcPr>
            <w:tcW w:w="0" w:type="auto"/>
          </w:tcPr>
          <w:p w:rsidR="00334786" w:rsidRPr="00BA4275" w:rsidRDefault="002B16F3"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 xml:space="preserve">Remission, </w:t>
            </w:r>
            <w:r w:rsidR="005D2365" w:rsidRPr="00BA4275">
              <w:rPr>
                <w:rFonts w:ascii="Times New Roman" w:hAnsi="Times New Roman" w:cs="Times New Roman"/>
                <w:sz w:val="24"/>
                <w:szCs w:val="24"/>
              </w:rPr>
              <w:t>using the previous definitions</w:t>
            </w:r>
            <w:r w:rsidRPr="00BA4275">
              <w:rPr>
                <w:rFonts w:ascii="Times New Roman" w:hAnsi="Times New Roman" w:cs="Times New Roman"/>
                <w:sz w:val="24"/>
                <w:szCs w:val="24"/>
              </w:rPr>
              <w:t>, for minimum of 12 months</w:t>
            </w:r>
          </w:p>
        </w:tc>
      </w:tr>
      <w:tr w:rsidR="00334786" w:rsidRPr="00BA4275" w:rsidTr="00030725">
        <w:tc>
          <w:tcPr>
            <w:tcW w:w="0" w:type="auto"/>
            <w:vMerge/>
          </w:tcPr>
          <w:p w:rsidR="00334786" w:rsidRPr="00BA4275" w:rsidRDefault="00334786" w:rsidP="002F4A00">
            <w:pPr>
              <w:spacing w:after="120"/>
              <w:rPr>
                <w:rFonts w:ascii="Times New Roman" w:hAnsi="Times New Roman" w:cs="Times New Roman"/>
                <w:sz w:val="24"/>
                <w:szCs w:val="24"/>
              </w:rPr>
            </w:pPr>
          </w:p>
        </w:tc>
        <w:tc>
          <w:tcPr>
            <w:tcW w:w="0" w:type="auto"/>
          </w:tcPr>
          <w:p w:rsidR="00334786" w:rsidRPr="00BA4275" w:rsidRDefault="00334786" w:rsidP="002F4A00">
            <w:pPr>
              <w:spacing w:after="120"/>
              <w:jc w:val="both"/>
              <w:rPr>
                <w:rFonts w:ascii="Times New Roman" w:hAnsi="Times New Roman" w:cs="Times New Roman"/>
                <w:sz w:val="24"/>
                <w:szCs w:val="24"/>
                <w:lang w:val="pt-BR"/>
              </w:rPr>
            </w:pPr>
            <w:r w:rsidRPr="00BA4275">
              <w:rPr>
                <w:rFonts w:ascii="Times New Roman" w:hAnsi="Times New Roman" w:cs="Times New Roman"/>
                <w:sz w:val="24"/>
                <w:szCs w:val="24"/>
                <w:lang w:val="pt-BR"/>
              </w:rPr>
              <w:t>AS</w:t>
            </w:r>
          </w:p>
        </w:tc>
        <w:tc>
          <w:tcPr>
            <w:tcW w:w="0" w:type="auto"/>
          </w:tcPr>
          <w:p w:rsidR="00334786" w:rsidRPr="00BA4275" w:rsidRDefault="002B16F3"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 xml:space="preserve">Remission, defined as ASDAS &lt;1.3, for minimum of 12 months </w:t>
            </w:r>
          </w:p>
        </w:tc>
      </w:tr>
      <w:tr w:rsidR="00334786" w:rsidRPr="00BA4275" w:rsidTr="00030725">
        <w:tc>
          <w:tcPr>
            <w:tcW w:w="0" w:type="auto"/>
          </w:tcPr>
          <w:p w:rsidR="00334786" w:rsidRPr="00BA4275" w:rsidRDefault="00334786" w:rsidP="002F4A00">
            <w:pPr>
              <w:spacing w:after="120"/>
              <w:rPr>
                <w:rFonts w:ascii="Times New Roman" w:hAnsi="Times New Roman" w:cs="Times New Roman"/>
                <w:sz w:val="24"/>
                <w:szCs w:val="24"/>
              </w:rPr>
            </w:pPr>
            <w:r w:rsidRPr="00BA4275">
              <w:rPr>
                <w:rFonts w:ascii="Times New Roman" w:hAnsi="Times New Roman" w:cs="Times New Roman"/>
                <w:sz w:val="24"/>
                <w:szCs w:val="24"/>
              </w:rPr>
              <w:t xml:space="preserve">Induction of </w:t>
            </w:r>
            <w:r w:rsidR="00FB4874" w:rsidRPr="00BA4275">
              <w:rPr>
                <w:rFonts w:ascii="Times New Roman" w:hAnsi="Times New Roman" w:cs="Times New Roman"/>
                <w:sz w:val="24"/>
                <w:szCs w:val="24"/>
              </w:rPr>
              <w:t>response</w:t>
            </w:r>
          </w:p>
        </w:tc>
        <w:tc>
          <w:tcPr>
            <w:tcW w:w="0" w:type="auto"/>
          </w:tcPr>
          <w:p w:rsidR="00334786" w:rsidRPr="00BA4275" w:rsidRDefault="00334786"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UC</w:t>
            </w:r>
          </w:p>
        </w:tc>
        <w:tc>
          <w:tcPr>
            <w:tcW w:w="0" w:type="auto"/>
          </w:tcPr>
          <w:p w:rsidR="00334786" w:rsidRPr="00BA4275" w:rsidRDefault="00F33546"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 xml:space="preserve">Decrease by at least 3 points and/or 30% from baseline in the </w:t>
            </w:r>
            <w:r>
              <w:rPr>
                <w:rFonts w:ascii="Times New Roman" w:hAnsi="Times New Roman" w:cs="Times New Roman"/>
                <w:sz w:val="24"/>
                <w:szCs w:val="24"/>
              </w:rPr>
              <w:t xml:space="preserve">PMS </w:t>
            </w:r>
            <w:r w:rsidRPr="00BA4275">
              <w:rPr>
                <w:rFonts w:ascii="Times New Roman" w:hAnsi="Times New Roman" w:cs="Times New Roman"/>
                <w:sz w:val="24"/>
                <w:szCs w:val="24"/>
              </w:rPr>
              <w:t xml:space="preserve">with an accompanying decrease in the </w:t>
            </w:r>
            <w:proofErr w:type="spellStart"/>
            <w:r w:rsidRPr="00BA4275">
              <w:rPr>
                <w:rFonts w:ascii="Times New Roman" w:hAnsi="Times New Roman" w:cs="Times New Roman"/>
                <w:sz w:val="24"/>
                <w:szCs w:val="24"/>
              </w:rPr>
              <w:t>subscore</w:t>
            </w:r>
            <w:proofErr w:type="spellEnd"/>
            <w:r w:rsidRPr="00BA4275">
              <w:rPr>
                <w:rFonts w:ascii="Times New Roman" w:hAnsi="Times New Roman" w:cs="Times New Roman"/>
                <w:sz w:val="24"/>
                <w:szCs w:val="24"/>
              </w:rPr>
              <w:t xml:space="preserve"> for rectal bleeding of at least 1 point or an absolute </w:t>
            </w:r>
            <w:proofErr w:type="spellStart"/>
            <w:r w:rsidRPr="00BA4275">
              <w:rPr>
                <w:rFonts w:ascii="Times New Roman" w:hAnsi="Times New Roman" w:cs="Times New Roman"/>
                <w:sz w:val="24"/>
                <w:szCs w:val="24"/>
              </w:rPr>
              <w:t>subscore</w:t>
            </w:r>
            <w:proofErr w:type="spellEnd"/>
            <w:r w:rsidRPr="00BA4275">
              <w:rPr>
                <w:rFonts w:ascii="Times New Roman" w:hAnsi="Times New Roman" w:cs="Times New Roman"/>
                <w:sz w:val="24"/>
                <w:szCs w:val="24"/>
              </w:rPr>
              <w:t xml:space="preserve"> for rectal bleeding of 0 or 1</w:t>
            </w:r>
            <w:r>
              <w:rPr>
                <w:rFonts w:ascii="Times New Roman" w:hAnsi="Times New Roman" w:cs="Times New Roman"/>
                <w:sz w:val="24"/>
                <w:szCs w:val="24"/>
              </w:rPr>
              <w:t xml:space="preserve"> </w:t>
            </w:r>
            <w:r w:rsidRPr="00BA4275">
              <w:rPr>
                <w:rFonts w:ascii="Times New Roman" w:hAnsi="Times New Roman" w:cs="Times New Roman"/>
                <w:sz w:val="24"/>
                <w:szCs w:val="24"/>
              </w:rPr>
              <w:t>within 3 months of initiation of treatment</w:t>
            </w:r>
          </w:p>
        </w:tc>
      </w:tr>
      <w:tr w:rsidR="00334786" w:rsidRPr="00BA4275" w:rsidTr="00030725">
        <w:tc>
          <w:tcPr>
            <w:tcW w:w="0" w:type="auto"/>
          </w:tcPr>
          <w:p w:rsidR="00334786" w:rsidRPr="00BA4275" w:rsidRDefault="00FB4874" w:rsidP="002F4A00">
            <w:pPr>
              <w:spacing w:after="120"/>
              <w:rPr>
                <w:rFonts w:ascii="Times New Roman" w:hAnsi="Times New Roman" w:cs="Times New Roman"/>
                <w:sz w:val="24"/>
                <w:szCs w:val="24"/>
              </w:rPr>
            </w:pPr>
            <w:r w:rsidRPr="00BA4275">
              <w:rPr>
                <w:rFonts w:ascii="Times New Roman" w:hAnsi="Times New Roman" w:cs="Times New Roman"/>
                <w:sz w:val="24"/>
                <w:szCs w:val="24"/>
              </w:rPr>
              <w:t>Maintenance of response</w:t>
            </w:r>
          </w:p>
        </w:tc>
        <w:tc>
          <w:tcPr>
            <w:tcW w:w="0" w:type="auto"/>
          </w:tcPr>
          <w:p w:rsidR="00334786" w:rsidRPr="00BA4275" w:rsidRDefault="00FB4874" w:rsidP="002F4A00">
            <w:pPr>
              <w:spacing w:after="120"/>
              <w:jc w:val="both"/>
              <w:rPr>
                <w:rFonts w:ascii="Times New Roman" w:hAnsi="Times New Roman" w:cs="Times New Roman"/>
                <w:sz w:val="24"/>
                <w:szCs w:val="24"/>
              </w:rPr>
            </w:pPr>
            <w:r w:rsidRPr="00BA4275">
              <w:rPr>
                <w:rFonts w:ascii="Times New Roman" w:hAnsi="Times New Roman" w:cs="Times New Roman"/>
                <w:sz w:val="24"/>
                <w:szCs w:val="24"/>
              </w:rPr>
              <w:t>UC</w:t>
            </w:r>
          </w:p>
        </w:tc>
        <w:tc>
          <w:tcPr>
            <w:tcW w:w="0" w:type="auto"/>
          </w:tcPr>
          <w:p w:rsidR="00334786" w:rsidRPr="00BA4275" w:rsidRDefault="00F33546" w:rsidP="002F4A00">
            <w:pPr>
              <w:spacing w:after="120"/>
              <w:jc w:val="both"/>
              <w:rPr>
                <w:rFonts w:ascii="Times New Roman" w:hAnsi="Times New Roman" w:cs="Times New Roman"/>
                <w:sz w:val="24"/>
                <w:szCs w:val="24"/>
              </w:rPr>
            </w:pPr>
            <w:r>
              <w:rPr>
                <w:rFonts w:ascii="Times New Roman" w:hAnsi="Times New Roman" w:cs="Times New Roman"/>
                <w:sz w:val="24"/>
                <w:szCs w:val="24"/>
              </w:rPr>
              <w:t>R</w:t>
            </w:r>
            <w:r w:rsidRPr="00BA4275">
              <w:rPr>
                <w:rFonts w:ascii="Times New Roman" w:hAnsi="Times New Roman" w:cs="Times New Roman"/>
                <w:sz w:val="24"/>
                <w:szCs w:val="24"/>
              </w:rPr>
              <w:t xml:space="preserve">esponse, as defined above, </w:t>
            </w:r>
            <w:bookmarkStart w:id="4" w:name="_Hlk505173915"/>
            <w:r>
              <w:rPr>
                <w:rFonts w:ascii="Times New Roman" w:hAnsi="Times New Roman" w:cs="Times New Roman"/>
                <w:sz w:val="24"/>
                <w:szCs w:val="24"/>
              </w:rPr>
              <w:t>in two consecutive visits (</w:t>
            </w:r>
            <w:r w:rsidRPr="00BA4275">
              <w:rPr>
                <w:rFonts w:ascii="Times New Roman" w:hAnsi="Times New Roman" w:cs="Times New Roman"/>
                <w:sz w:val="24"/>
                <w:szCs w:val="24"/>
              </w:rPr>
              <w:t xml:space="preserve">minimum of </w:t>
            </w:r>
            <w:r>
              <w:rPr>
                <w:rFonts w:ascii="Times New Roman" w:hAnsi="Times New Roman" w:cs="Times New Roman"/>
                <w:sz w:val="24"/>
                <w:szCs w:val="24"/>
              </w:rPr>
              <w:t>3</w:t>
            </w:r>
            <w:r w:rsidRPr="00BA4275">
              <w:rPr>
                <w:rFonts w:ascii="Times New Roman" w:hAnsi="Times New Roman" w:cs="Times New Roman"/>
                <w:sz w:val="24"/>
                <w:szCs w:val="24"/>
              </w:rPr>
              <w:t>month</w:t>
            </w:r>
            <w:r>
              <w:rPr>
                <w:rFonts w:ascii="Times New Roman" w:hAnsi="Times New Roman" w:cs="Times New Roman"/>
                <w:sz w:val="24"/>
                <w:szCs w:val="24"/>
              </w:rPr>
              <w:t>-interval)</w:t>
            </w:r>
            <w:bookmarkEnd w:id="4"/>
          </w:p>
        </w:tc>
      </w:tr>
      <w:tr w:rsidR="00F33546" w:rsidRPr="00BA4275" w:rsidTr="00030725">
        <w:tc>
          <w:tcPr>
            <w:tcW w:w="0" w:type="auto"/>
          </w:tcPr>
          <w:p w:rsidR="00F33546" w:rsidRPr="00BA4275" w:rsidRDefault="00F33546" w:rsidP="00F33546">
            <w:pPr>
              <w:spacing w:after="120"/>
              <w:rPr>
                <w:rFonts w:ascii="Times New Roman" w:hAnsi="Times New Roman" w:cs="Times New Roman"/>
                <w:sz w:val="24"/>
                <w:szCs w:val="24"/>
              </w:rPr>
            </w:pPr>
            <w:r>
              <w:rPr>
                <w:rFonts w:ascii="Times New Roman" w:hAnsi="Times New Roman" w:cs="Times New Roman"/>
                <w:sz w:val="24"/>
                <w:szCs w:val="24"/>
              </w:rPr>
              <w:t>Clinical remission</w:t>
            </w:r>
          </w:p>
        </w:tc>
        <w:tc>
          <w:tcPr>
            <w:tcW w:w="0" w:type="auto"/>
          </w:tcPr>
          <w:p w:rsidR="00F33546" w:rsidRPr="00BA4275" w:rsidRDefault="00F33546" w:rsidP="00F33546">
            <w:pPr>
              <w:spacing w:after="120"/>
              <w:jc w:val="both"/>
              <w:rPr>
                <w:rFonts w:ascii="Times New Roman" w:hAnsi="Times New Roman" w:cs="Times New Roman"/>
                <w:sz w:val="24"/>
                <w:szCs w:val="24"/>
              </w:rPr>
            </w:pPr>
            <w:r>
              <w:rPr>
                <w:rFonts w:ascii="Times New Roman" w:hAnsi="Times New Roman" w:cs="Times New Roman"/>
                <w:sz w:val="24"/>
                <w:szCs w:val="24"/>
              </w:rPr>
              <w:t>UC</w:t>
            </w:r>
          </w:p>
        </w:tc>
        <w:tc>
          <w:tcPr>
            <w:tcW w:w="0" w:type="auto"/>
          </w:tcPr>
          <w:p w:rsidR="00F33546" w:rsidRDefault="00F33546" w:rsidP="00F33546">
            <w:pPr>
              <w:spacing w:after="120"/>
              <w:jc w:val="both"/>
              <w:rPr>
                <w:rFonts w:ascii="Times New Roman" w:hAnsi="Times New Roman" w:cs="Times New Roman"/>
                <w:sz w:val="24"/>
                <w:szCs w:val="24"/>
              </w:rPr>
            </w:pPr>
            <w:r>
              <w:rPr>
                <w:rFonts w:ascii="Times New Roman" w:hAnsi="Times New Roman" w:cs="Times New Roman"/>
                <w:sz w:val="24"/>
                <w:szCs w:val="24"/>
              </w:rPr>
              <w:t xml:space="preserve">PMS </w:t>
            </w:r>
            <w:r w:rsidRPr="00976B88">
              <w:rPr>
                <w:rFonts w:ascii="Times New Roman" w:hAnsi="Times New Roman" w:cs="Times New Roman"/>
                <w:sz w:val="24"/>
                <w:szCs w:val="24"/>
              </w:rPr>
              <w:t>≤2</w:t>
            </w:r>
            <w:r w:rsidRPr="007E0B05">
              <w:rPr>
                <w:rFonts w:ascii="Times New Roman" w:hAnsi="Times New Roman" w:cs="Times New Roman"/>
                <w:sz w:val="24"/>
                <w:szCs w:val="24"/>
              </w:rPr>
              <w:t>,</w:t>
            </w:r>
            <w:r>
              <w:rPr>
                <w:rFonts w:ascii="Times New Roman" w:hAnsi="Times New Roman" w:cs="Times New Roman"/>
                <w:sz w:val="24"/>
                <w:szCs w:val="24"/>
              </w:rPr>
              <w:t xml:space="preserve"> with no sub score &gt;1,</w:t>
            </w:r>
            <w:r w:rsidRPr="007E0B05">
              <w:rPr>
                <w:rFonts w:ascii="Times New Roman" w:hAnsi="Times New Roman" w:cs="Times New Roman"/>
                <w:sz w:val="24"/>
                <w:szCs w:val="24"/>
              </w:rPr>
              <w:t xml:space="preserve"> </w:t>
            </w:r>
            <w:r>
              <w:rPr>
                <w:rFonts w:ascii="Times New Roman" w:hAnsi="Times New Roman" w:cs="Times New Roman"/>
                <w:sz w:val="24"/>
                <w:szCs w:val="24"/>
              </w:rPr>
              <w:t xml:space="preserve">assessed at 3, 6, and 9, and 12 months after </w:t>
            </w:r>
            <w:r w:rsidRPr="00BA4275">
              <w:rPr>
                <w:rFonts w:ascii="Times New Roman" w:hAnsi="Times New Roman" w:cs="Times New Roman"/>
                <w:sz w:val="24"/>
                <w:szCs w:val="24"/>
              </w:rPr>
              <w:t>initiation of treatment</w:t>
            </w:r>
            <w:r>
              <w:rPr>
                <w:rFonts w:ascii="Times New Roman" w:hAnsi="Times New Roman" w:cs="Times New Roman"/>
                <w:sz w:val="24"/>
                <w:szCs w:val="24"/>
              </w:rPr>
              <w:t>, and yearly follow-ups</w:t>
            </w:r>
          </w:p>
        </w:tc>
      </w:tr>
      <w:tr w:rsidR="00F33546" w:rsidRPr="00BA4275" w:rsidTr="00030725">
        <w:tc>
          <w:tcPr>
            <w:tcW w:w="0" w:type="auto"/>
          </w:tcPr>
          <w:p w:rsidR="00F33546" w:rsidRPr="00BA4275" w:rsidRDefault="00F33546" w:rsidP="00F33546">
            <w:pPr>
              <w:spacing w:after="120"/>
              <w:rPr>
                <w:rFonts w:ascii="Times New Roman" w:hAnsi="Times New Roman" w:cs="Times New Roman"/>
                <w:sz w:val="24"/>
                <w:szCs w:val="24"/>
              </w:rPr>
            </w:pPr>
            <w:r>
              <w:rPr>
                <w:rFonts w:ascii="Times New Roman" w:hAnsi="Times New Roman" w:cs="Times New Roman"/>
                <w:sz w:val="24"/>
                <w:szCs w:val="24"/>
              </w:rPr>
              <w:t>Sustained clinical remission</w:t>
            </w:r>
          </w:p>
        </w:tc>
        <w:tc>
          <w:tcPr>
            <w:tcW w:w="0" w:type="auto"/>
          </w:tcPr>
          <w:p w:rsidR="00F33546" w:rsidRPr="00BA4275" w:rsidRDefault="00F33546" w:rsidP="00F33546">
            <w:pPr>
              <w:spacing w:after="120"/>
              <w:jc w:val="both"/>
              <w:rPr>
                <w:rFonts w:ascii="Times New Roman" w:hAnsi="Times New Roman" w:cs="Times New Roman"/>
                <w:sz w:val="24"/>
                <w:szCs w:val="24"/>
              </w:rPr>
            </w:pPr>
            <w:r>
              <w:rPr>
                <w:rFonts w:ascii="Times New Roman" w:hAnsi="Times New Roman" w:cs="Times New Roman"/>
                <w:sz w:val="24"/>
                <w:szCs w:val="24"/>
              </w:rPr>
              <w:t>UC</w:t>
            </w:r>
          </w:p>
        </w:tc>
        <w:tc>
          <w:tcPr>
            <w:tcW w:w="0" w:type="auto"/>
          </w:tcPr>
          <w:p w:rsidR="00F33546" w:rsidRDefault="00F33546" w:rsidP="00F33546">
            <w:pPr>
              <w:spacing w:after="120"/>
              <w:jc w:val="both"/>
              <w:rPr>
                <w:rFonts w:ascii="Times New Roman" w:hAnsi="Times New Roman" w:cs="Times New Roman"/>
                <w:sz w:val="24"/>
                <w:szCs w:val="24"/>
              </w:rPr>
            </w:pPr>
            <w:r>
              <w:rPr>
                <w:rFonts w:ascii="Times New Roman" w:hAnsi="Times New Roman" w:cs="Times New Roman"/>
                <w:sz w:val="24"/>
                <w:szCs w:val="24"/>
              </w:rPr>
              <w:t>Clinical remission, as defined above, in two consecutive visits (</w:t>
            </w:r>
            <w:r w:rsidRPr="00BA4275">
              <w:rPr>
                <w:rFonts w:ascii="Times New Roman" w:hAnsi="Times New Roman" w:cs="Times New Roman"/>
                <w:sz w:val="24"/>
                <w:szCs w:val="24"/>
              </w:rPr>
              <w:t xml:space="preserve">minimum of </w:t>
            </w:r>
            <w:r>
              <w:rPr>
                <w:rFonts w:ascii="Times New Roman" w:hAnsi="Times New Roman" w:cs="Times New Roman"/>
                <w:sz w:val="24"/>
                <w:szCs w:val="24"/>
              </w:rPr>
              <w:t>3-</w:t>
            </w:r>
            <w:r w:rsidRPr="00BA4275">
              <w:rPr>
                <w:rFonts w:ascii="Times New Roman" w:hAnsi="Times New Roman" w:cs="Times New Roman"/>
                <w:sz w:val="24"/>
                <w:szCs w:val="24"/>
              </w:rPr>
              <w:t>month</w:t>
            </w:r>
            <w:r>
              <w:rPr>
                <w:rFonts w:ascii="Times New Roman" w:hAnsi="Times New Roman" w:cs="Times New Roman"/>
                <w:sz w:val="24"/>
                <w:szCs w:val="24"/>
              </w:rPr>
              <w:t xml:space="preserve"> interval)</w:t>
            </w:r>
          </w:p>
        </w:tc>
      </w:tr>
      <w:tr w:rsidR="00F33546" w:rsidRPr="00BA4275" w:rsidTr="00030725">
        <w:tc>
          <w:tcPr>
            <w:tcW w:w="0" w:type="auto"/>
          </w:tcPr>
          <w:p w:rsidR="00F33546" w:rsidRPr="00BA4275" w:rsidRDefault="00F33546" w:rsidP="00F33546">
            <w:pPr>
              <w:spacing w:after="120"/>
              <w:rPr>
                <w:rFonts w:ascii="Times New Roman" w:hAnsi="Times New Roman" w:cs="Times New Roman"/>
                <w:sz w:val="24"/>
                <w:szCs w:val="24"/>
              </w:rPr>
            </w:pPr>
            <w:r w:rsidRPr="00BA4275">
              <w:rPr>
                <w:rFonts w:ascii="Times New Roman" w:hAnsi="Times New Roman" w:cs="Times New Roman"/>
                <w:sz w:val="24"/>
                <w:szCs w:val="24"/>
              </w:rPr>
              <w:lastRenderedPageBreak/>
              <w:t>Induction of response</w:t>
            </w:r>
          </w:p>
        </w:tc>
        <w:tc>
          <w:tcPr>
            <w:tcW w:w="0" w:type="auto"/>
          </w:tcPr>
          <w:p w:rsidR="00F33546" w:rsidRPr="00BA4275" w:rsidRDefault="00F33546" w:rsidP="00F33546">
            <w:pPr>
              <w:spacing w:after="120"/>
              <w:jc w:val="both"/>
              <w:rPr>
                <w:rFonts w:ascii="Times New Roman" w:hAnsi="Times New Roman" w:cs="Times New Roman"/>
                <w:sz w:val="24"/>
                <w:szCs w:val="24"/>
              </w:rPr>
            </w:pPr>
            <w:r w:rsidRPr="00BA4275">
              <w:rPr>
                <w:rFonts w:ascii="Times New Roman" w:hAnsi="Times New Roman" w:cs="Times New Roman"/>
                <w:sz w:val="24"/>
                <w:szCs w:val="24"/>
              </w:rPr>
              <w:t>CD</w:t>
            </w:r>
          </w:p>
        </w:tc>
        <w:tc>
          <w:tcPr>
            <w:tcW w:w="0" w:type="auto"/>
          </w:tcPr>
          <w:p w:rsidR="00F33546" w:rsidRPr="00BA4275" w:rsidRDefault="00246123" w:rsidP="00246123">
            <w:pPr>
              <w:spacing w:after="120"/>
              <w:jc w:val="both"/>
              <w:rPr>
                <w:rFonts w:ascii="Times New Roman" w:hAnsi="Times New Roman" w:cs="Times New Roman"/>
                <w:sz w:val="24"/>
                <w:szCs w:val="24"/>
              </w:rPr>
            </w:pPr>
            <w:r>
              <w:rPr>
                <w:rFonts w:ascii="Times New Roman" w:hAnsi="Times New Roman" w:cs="Times New Roman"/>
                <w:sz w:val="24"/>
                <w:szCs w:val="24"/>
                <w:u w:val="single"/>
              </w:rPr>
              <w:t>R</w:t>
            </w:r>
            <w:r w:rsidRPr="00C82BCD">
              <w:rPr>
                <w:rFonts w:ascii="Times New Roman" w:hAnsi="Times New Roman" w:cs="Times New Roman"/>
                <w:sz w:val="24"/>
                <w:szCs w:val="24"/>
                <w:u w:val="single"/>
              </w:rPr>
              <w:t xml:space="preserve">eduction in the HBI score of at least three </w:t>
            </w:r>
            <w:proofErr w:type="gramStart"/>
            <w:r w:rsidRPr="00C82BCD">
              <w:rPr>
                <w:rFonts w:ascii="Times New Roman" w:hAnsi="Times New Roman" w:cs="Times New Roman"/>
                <w:sz w:val="24"/>
                <w:szCs w:val="24"/>
                <w:u w:val="single"/>
              </w:rPr>
              <w:t>points</w:t>
            </w:r>
            <w:r w:rsidRPr="005F6B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A12E83">
              <w:rPr>
                <w:rFonts w:ascii="Times New Roman" w:hAnsi="Times New Roman" w:cs="Times New Roman"/>
                <w:sz w:val="24"/>
                <w:szCs w:val="24"/>
              </w:rPr>
              <w:t>at</w:t>
            </w:r>
            <w:proofErr w:type="gramEnd"/>
            <w:r w:rsidR="00A12E83" w:rsidRPr="007E0B05">
              <w:rPr>
                <w:rFonts w:ascii="Times New Roman" w:hAnsi="Times New Roman" w:cs="Times New Roman"/>
                <w:sz w:val="24"/>
                <w:szCs w:val="24"/>
              </w:rPr>
              <w:t xml:space="preserve"> </w:t>
            </w:r>
            <w:r w:rsidR="00A12E83" w:rsidRPr="00BA4275">
              <w:rPr>
                <w:rFonts w:ascii="Times New Roman" w:hAnsi="Times New Roman" w:cs="Times New Roman"/>
                <w:sz w:val="24"/>
                <w:szCs w:val="24"/>
              </w:rPr>
              <w:t xml:space="preserve">3 months </w:t>
            </w:r>
            <w:r w:rsidR="00A12E83">
              <w:rPr>
                <w:rFonts w:ascii="Times New Roman" w:hAnsi="Times New Roman" w:cs="Times New Roman"/>
                <w:sz w:val="24"/>
                <w:szCs w:val="24"/>
              </w:rPr>
              <w:t xml:space="preserve">after </w:t>
            </w:r>
            <w:r w:rsidR="00A12E83" w:rsidRPr="00BA4275">
              <w:rPr>
                <w:rFonts w:ascii="Times New Roman" w:hAnsi="Times New Roman" w:cs="Times New Roman"/>
                <w:sz w:val="24"/>
                <w:szCs w:val="24"/>
              </w:rPr>
              <w:t xml:space="preserve">treatment </w:t>
            </w:r>
            <w:r w:rsidR="00A12E83">
              <w:rPr>
                <w:rFonts w:ascii="Times New Roman" w:hAnsi="Times New Roman" w:cs="Times New Roman"/>
                <w:sz w:val="24"/>
                <w:szCs w:val="24"/>
              </w:rPr>
              <w:t>initiation.</w:t>
            </w:r>
          </w:p>
        </w:tc>
      </w:tr>
      <w:tr w:rsidR="00F33546" w:rsidRPr="00BA4275" w:rsidTr="00030725">
        <w:tc>
          <w:tcPr>
            <w:tcW w:w="0" w:type="auto"/>
          </w:tcPr>
          <w:p w:rsidR="00F33546" w:rsidRPr="00BA4275" w:rsidRDefault="00F33546" w:rsidP="00F33546">
            <w:pPr>
              <w:spacing w:after="120"/>
              <w:rPr>
                <w:rFonts w:ascii="Times New Roman" w:hAnsi="Times New Roman" w:cs="Times New Roman"/>
                <w:sz w:val="24"/>
                <w:szCs w:val="24"/>
              </w:rPr>
            </w:pPr>
            <w:r w:rsidRPr="00BA4275">
              <w:rPr>
                <w:rFonts w:ascii="Times New Roman" w:hAnsi="Times New Roman" w:cs="Times New Roman"/>
                <w:sz w:val="24"/>
                <w:szCs w:val="24"/>
              </w:rPr>
              <w:t>Maintenance of response</w:t>
            </w:r>
          </w:p>
        </w:tc>
        <w:tc>
          <w:tcPr>
            <w:tcW w:w="0" w:type="auto"/>
          </w:tcPr>
          <w:p w:rsidR="00F33546" w:rsidRPr="00BA4275" w:rsidRDefault="00F33546" w:rsidP="00F33546">
            <w:pPr>
              <w:spacing w:after="120"/>
              <w:jc w:val="both"/>
              <w:rPr>
                <w:rFonts w:ascii="Times New Roman" w:hAnsi="Times New Roman" w:cs="Times New Roman"/>
                <w:sz w:val="24"/>
                <w:szCs w:val="24"/>
              </w:rPr>
            </w:pPr>
            <w:r w:rsidRPr="00BA4275">
              <w:rPr>
                <w:rFonts w:ascii="Times New Roman" w:hAnsi="Times New Roman" w:cs="Times New Roman"/>
                <w:sz w:val="24"/>
                <w:szCs w:val="24"/>
              </w:rPr>
              <w:t>CD</w:t>
            </w:r>
          </w:p>
        </w:tc>
        <w:tc>
          <w:tcPr>
            <w:tcW w:w="0" w:type="auto"/>
          </w:tcPr>
          <w:p w:rsidR="00F33546" w:rsidRPr="00BA4275" w:rsidRDefault="00A12E83" w:rsidP="00F33546">
            <w:pPr>
              <w:spacing w:after="120"/>
              <w:jc w:val="both"/>
              <w:rPr>
                <w:rFonts w:ascii="Times New Roman" w:hAnsi="Times New Roman" w:cs="Times New Roman"/>
                <w:sz w:val="24"/>
                <w:szCs w:val="24"/>
              </w:rPr>
            </w:pPr>
            <w:r>
              <w:rPr>
                <w:rFonts w:ascii="Times New Roman" w:hAnsi="Times New Roman" w:cs="Times New Roman"/>
                <w:sz w:val="24"/>
                <w:szCs w:val="24"/>
              </w:rPr>
              <w:t>R</w:t>
            </w:r>
            <w:r w:rsidRPr="00BA4275">
              <w:rPr>
                <w:rFonts w:ascii="Times New Roman" w:hAnsi="Times New Roman" w:cs="Times New Roman"/>
                <w:sz w:val="24"/>
                <w:szCs w:val="24"/>
              </w:rPr>
              <w:t xml:space="preserve">esponse, as defined above, </w:t>
            </w:r>
            <w:r>
              <w:rPr>
                <w:rFonts w:ascii="Times New Roman" w:hAnsi="Times New Roman" w:cs="Times New Roman"/>
                <w:sz w:val="24"/>
                <w:szCs w:val="24"/>
              </w:rPr>
              <w:t>in two consecutive visits (</w:t>
            </w:r>
            <w:r w:rsidRPr="00BA4275">
              <w:rPr>
                <w:rFonts w:ascii="Times New Roman" w:hAnsi="Times New Roman" w:cs="Times New Roman"/>
                <w:sz w:val="24"/>
                <w:szCs w:val="24"/>
              </w:rPr>
              <w:t xml:space="preserve">minimum of </w:t>
            </w:r>
            <w:r>
              <w:rPr>
                <w:rFonts w:ascii="Times New Roman" w:hAnsi="Times New Roman" w:cs="Times New Roman"/>
                <w:sz w:val="24"/>
                <w:szCs w:val="24"/>
              </w:rPr>
              <w:t>3</w:t>
            </w:r>
            <w:r w:rsidR="00246123">
              <w:rPr>
                <w:rFonts w:ascii="Times New Roman" w:hAnsi="Times New Roman" w:cs="Times New Roman"/>
                <w:sz w:val="24"/>
                <w:szCs w:val="24"/>
              </w:rPr>
              <w:t xml:space="preserve"> </w:t>
            </w:r>
            <w:r w:rsidRPr="00BA4275">
              <w:rPr>
                <w:rFonts w:ascii="Times New Roman" w:hAnsi="Times New Roman" w:cs="Times New Roman"/>
                <w:sz w:val="24"/>
                <w:szCs w:val="24"/>
              </w:rPr>
              <w:t>month</w:t>
            </w:r>
            <w:r w:rsidR="00246123">
              <w:rPr>
                <w:rFonts w:ascii="Times New Roman" w:hAnsi="Times New Roman" w:cs="Times New Roman"/>
                <w:sz w:val="24"/>
                <w:szCs w:val="24"/>
              </w:rPr>
              <w:t xml:space="preserve"> </w:t>
            </w:r>
            <w:r>
              <w:rPr>
                <w:rFonts w:ascii="Times New Roman" w:hAnsi="Times New Roman" w:cs="Times New Roman"/>
                <w:sz w:val="24"/>
                <w:szCs w:val="24"/>
              </w:rPr>
              <w:t>interval)</w:t>
            </w:r>
          </w:p>
        </w:tc>
      </w:tr>
      <w:tr w:rsidR="00A12E83" w:rsidRPr="00BA4275" w:rsidTr="00030725">
        <w:tc>
          <w:tcPr>
            <w:tcW w:w="0" w:type="auto"/>
          </w:tcPr>
          <w:p w:rsidR="00A12E83" w:rsidRPr="00BA4275" w:rsidRDefault="00A12E83" w:rsidP="00A12E83">
            <w:pPr>
              <w:spacing w:after="120"/>
              <w:rPr>
                <w:rFonts w:ascii="Times New Roman" w:hAnsi="Times New Roman" w:cs="Times New Roman"/>
                <w:sz w:val="24"/>
                <w:szCs w:val="24"/>
              </w:rPr>
            </w:pPr>
            <w:r>
              <w:rPr>
                <w:rFonts w:ascii="Times New Roman" w:hAnsi="Times New Roman" w:cs="Times New Roman"/>
                <w:sz w:val="24"/>
                <w:szCs w:val="24"/>
              </w:rPr>
              <w:t>Clinical remission</w:t>
            </w:r>
          </w:p>
        </w:tc>
        <w:tc>
          <w:tcPr>
            <w:tcW w:w="0" w:type="auto"/>
          </w:tcPr>
          <w:p w:rsidR="00A12E83" w:rsidRPr="00BA4275" w:rsidRDefault="00A12E83" w:rsidP="00A12E83">
            <w:pPr>
              <w:spacing w:after="120"/>
              <w:jc w:val="both"/>
              <w:rPr>
                <w:rFonts w:ascii="Times New Roman" w:hAnsi="Times New Roman" w:cs="Times New Roman"/>
                <w:sz w:val="24"/>
                <w:szCs w:val="24"/>
              </w:rPr>
            </w:pPr>
            <w:r w:rsidRPr="00BA4275">
              <w:rPr>
                <w:rFonts w:ascii="Times New Roman" w:hAnsi="Times New Roman" w:cs="Times New Roman"/>
                <w:sz w:val="24"/>
                <w:szCs w:val="24"/>
              </w:rPr>
              <w:t>CD</w:t>
            </w:r>
          </w:p>
        </w:tc>
        <w:tc>
          <w:tcPr>
            <w:tcW w:w="0" w:type="auto"/>
          </w:tcPr>
          <w:p w:rsidR="00A12E83" w:rsidRDefault="00246123" w:rsidP="00FB1F4D">
            <w:pPr>
              <w:spacing w:after="120"/>
              <w:jc w:val="both"/>
              <w:rPr>
                <w:rFonts w:ascii="Times New Roman" w:hAnsi="Times New Roman" w:cs="Times New Roman"/>
                <w:sz w:val="24"/>
                <w:szCs w:val="24"/>
              </w:rPr>
            </w:pPr>
            <w:r w:rsidRPr="00C82BCD">
              <w:rPr>
                <w:rFonts w:ascii="Times New Roman" w:hAnsi="Times New Roman" w:cs="Times New Roman"/>
                <w:sz w:val="24"/>
                <w:szCs w:val="24"/>
              </w:rPr>
              <w:t>HBI ≤</w:t>
            </w:r>
            <w:r w:rsidR="00A12E83">
              <w:rPr>
                <w:rFonts w:ascii="Times New Roman" w:hAnsi="Times New Roman" w:cs="Times New Roman"/>
                <w:sz w:val="24"/>
                <w:szCs w:val="24"/>
              </w:rPr>
              <w:t>, assessed at 3, 6, 9, 12</w:t>
            </w:r>
            <w:r w:rsidR="00FB1F4D">
              <w:rPr>
                <w:rFonts w:ascii="Times New Roman" w:hAnsi="Times New Roman" w:cs="Times New Roman"/>
                <w:sz w:val="24"/>
                <w:szCs w:val="24"/>
              </w:rPr>
              <w:t xml:space="preserve"> and 18</w:t>
            </w:r>
            <w:r w:rsidR="00A12E83">
              <w:rPr>
                <w:rFonts w:ascii="Times New Roman" w:hAnsi="Times New Roman" w:cs="Times New Roman"/>
                <w:sz w:val="24"/>
                <w:szCs w:val="24"/>
              </w:rPr>
              <w:t xml:space="preserve"> months after </w:t>
            </w:r>
            <w:r w:rsidR="00A12E83" w:rsidRPr="00BA4275">
              <w:rPr>
                <w:rFonts w:ascii="Times New Roman" w:hAnsi="Times New Roman" w:cs="Times New Roman"/>
                <w:sz w:val="24"/>
                <w:szCs w:val="24"/>
              </w:rPr>
              <w:t>initiation of treatment</w:t>
            </w:r>
            <w:r w:rsidR="00FB1F4D">
              <w:rPr>
                <w:rFonts w:ascii="Times New Roman" w:hAnsi="Times New Roman" w:cs="Times New Roman"/>
                <w:sz w:val="24"/>
                <w:szCs w:val="24"/>
              </w:rPr>
              <w:t>, and at yearly follow-ups thereafter, and</w:t>
            </w:r>
            <w:r>
              <w:rPr>
                <w:rFonts w:ascii="Times New Roman" w:hAnsi="Times New Roman" w:cs="Times New Roman"/>
                <w:sz w:val="24"/>
                <w:szCs w:val="24"/>
              </w:rPr>
              <w:t xml:space="preserve"> CDAI &lt; 150 assessed at 12 months</w:t>
            </w:r>
          </w:p>
        </w:tc>
      </w:tr>
      <w:tr w:rsidR="00A12E83" w:rsidRPr="00BA4275" w:rsidTr="00030725">
        <w:tc>
          <w:tcPr>
            <w:tcW w:w="0" w:type="auto"/>
          </w:tcPr>
          <w:p w:rsidR="00A12E83" w:rsidRPr="00BA4275" w:rsidRDefault="00A12E83" w:rsidP="00A12E83">
            <w:pPr>
              <w:spacing w:after="120"/>
              <w:rPr>
                <w:rFonts w:ascii="Times New Roman" w:hAnsi="Times New Roman" w:cs="Times New Roman"/>
                <w:sz w:val="24"/>
                <w:szCs w:val="24"/>
              </w:rPr>
            </w:pPr>
            <w:r>
              <w:rPr>
                <w:rFonts w:ascii="Times New Roman" w:hAnsi="Times New Roman" w:cs="Times New Roman"/>
                <w:sz w:val="24"/>
                <w:szCs w:val="24"/>
              </w:rPr>
              <w:t>Sustained clinical remission</w:t>
            </w:r>
          </w:p>
        </w:tc>
        <w:tc>
          <w:tcPr>
            <w:tcW w:w="0" w:type="auto"/>
          </w:tcPr>
          <w:p w:rsidR="00A12E83" w:rsidRPr="00BA4275" w:rsidRDefault="00A12E83" w:rsidP="00A12E83">
            <w:pPr>
              <w:spacing w:after="120"/>
              <w:jc w:val="both"/>
              <w:rPr>
                <w:rFonts w:ascii="Times New Roman" w:hAnsi="Times New Roman" w:cs="Times New Roman"/>
                <w:sz w:val="24"/>
                <w:szCs w:val="24"/>
              </w:rPr>
            </w:pPr>
            <w:r>
              <w:rPr>
                <w:rFonts w:ascii="Times New Roman" w:hAnsi="Times New Roman" w:cs="Times New Roman"/>
                <w:sz w:val="24"/>
                <w:szCs w:val="24"/>
              </w:rPr>
              <w:t>CD</w:t>
            </w:r>
          </w:p>
        </w:tc>
        <w:tc>
          <w:tcPr>
            <w:tcW w:w="0" w:type="auto"/>
          </w:tcPr>
          <w:p w:rsidR="00A12E83" w:rsidRDefault="00A12E83" w:rsidP="00A12E83">
            <w:pPr>
              <w:spacing w:after="120"/>
              <w:jc w:val="both"/>
              <w:rPr>
                <w:rFonts w:ascii="Times New Roman" w:hAnsi="Times New Roman" w:cs="Times New Roman"/>
                <w:sz w:val="24"/>
                <w:szCs w:val="24"/>
              </w:rPr>
            </w:pPr>
            <w:r>
              <w:rPr>
                <w:rFonts w:ascii="Times New Roman" w:hAnsi="Times New Roman" w:cs="Times New Roman"/>
                <w:sz w:val="24"/>
                <w:szCs w:val="24"/>
              </w:rPr>
              <w:t>Clinical remission, as defined above, in two consecutive visits (</w:t>
            </w:r>
            <w:r w:rsidRPr="00BA4275">
              <w:rPr>
                <w:rFonts w:ascii="Times New Roman" w:hAnsi="Times New Roman" w:cs="Times New Roman"/>
                <w:sz w:val="24"/>
                <w:szCs w:val="24"/>
              </w:rPr>
              <w:t xml:space="preserve">minimum of </w:t>
            </w:r>
            <w:r>
              <w:rPr>
                <w:rFonts w:ascii="Times New Roman" w:hAnsi="Times New Roman" w:cs="Times New Roman"/>
                <w:sz w:val="24"/>
                <w:szCs w:val="24"/>
              </w:rPr>
              <w:t>3-</w:t>
            </w:r>
            <w:r w:rsidRPr="00BA4275">
              <w:rPr>
                <w:rFonts w:ascii="Times New Roman" w:hAnsi="Times New Roman" w:cs="Times New Roman"/>
                <w:sz w:val="24"/>
                <w:szCs w:val="24"/>
              </w:rPr>
              <w:t>month</w:t>
            </w:r>
            <w:r>
              <w:rPr>
                <w:rFonts w:ascii="Times New Roman" w:hAnsi="Times New Roman" w:cs="Times New Roman"/>
                <w:sz w:val="24"/>
                <w:szCs w:val="24"/>
              </w:rPr>
              <w:t xml:space="preserve"> interval). </w:t>
            </w:r>
          </w:p>
        </w:tc>
      </w:tr>
      <w:tr w:rsidR="00A12E83" w:rsidRPr="00BA4275" w:rsidTr="00030725">
        <w:tc>
          <w:tcPr>
            <w:tcW w:w="0" w:type="auto"/>
          </w:tcPr>
          <w:p w:rsidR="00A12E83" w:rsidRPr="00BA4275" w:rsidRDefault="00A12E83" w:rsidP="00A12E83">
            <w:pPr>
              <w:spacing w:after="120"/>
              <w:rPr>
                <w:rFonts w:ascii="Times New Roman" w:hAnsi="Times New Roman" w:cs="Times New Roman"/>
                <w:sz w:val="24"/>
                <w:szCs w:val="24"/>
              </w:rPr>
            </w:pPr>
            <w:r>
              <w:rPr>
                <w:rFonts w:ascii="Times New Roman" w:hAnsi="Times New Roman" w:cs="Times New Roman"/>
                <w:sz w:val="24"/>
                <w:szCs w:val="24"/>
              </w:rPr>
              <w:t>Loss of response</w:t>
            </w:r>
          </w:p>
        </w:tc>
        <w:tc>
          <w:tcPr>
            <w:tcW w:w="0" w:type="auto"/>
          </w:tcPr>
          <w:p w:rsidR="00A12E83" w:rsidRPr="00BA4275" w:rsidRDefault="00A12E83" w:rsidP="00A12E83">
            <w:pPr>
              <w:spacing w:after="120"/>
              <w:jc w:val="both"/>
              <w:rPr>
                <w:rFonts w:ascii="Times New Roman" w:hAnsi="Times New Roman" w:cs="Times New Roman"/>
                <w:sz w:val="24"/>
                <w:szCs w:val="24"/>
              </w:rPr>
            </w:pPr>
            <w:r>
              <w:rPr>
                <w:rFonts w:ascii="Times New Roman" w:hAnsi="Times New Roman" w:cs="Times New Roman"/>
                <w:sz w:val="24"/>
                <w:szCs w:val="24"/>
              </w:rPr>
              <w:t>UC, CD</w:t>
            </w:r>
          </w:p>
        </w:tc>
        <w:tc>
          <w:tcPr>
            <w:tcW w:w="0" w:type="auto"/>
          </w:tcPr>
          <w:p w:rsidR="00A12E83" w:rsidRDefault="00A12E83" w:rsidP="00A12E83">
            <w:pPr>
              <w:spacing w:after="120"/>
              <w:jc w:val="both"/>
              <w:rPr>
                <w:rFonts w:ascii="Times New Roman" w:hAnsi="Times New Roman" w:cs="Times New Roman"/>
                <w:sz w:val="24"/>
                <w:szCs w:val="24"/>
              </w:rPr>
            </w:pPr>
            <w:r>
              <w:rPr>
                <w:rFonts w:ascii="Times New Roman" w:hAnsi="Times New Roman" w:cs="Times New Roman"/>
                <w:sz w:val="24"/>
                <w:szCs w:val="24"/>
              </w:rPr>
              <w:t>Failure to maintain response as per above definitions</w:t>
            </w:r>
          </w:p>
        </w:tc>
      </w:tr>
    </w:tbl>
    <w:p w:rsidR="002736DF" w:rsidRDefault="002736DF" w:rsidP="002F4A00">
      <w:pPr>
        <w:pStyle w:val="CommentText"/>
        <w:spacing w:after="120"/>
        <w:jc w:val="both"/>
        <w:rPr>
          <w:rFonts w:ascii="Times New Roman" w:hAnsi="Times New Roman" w:cs="Times New Roman"/>
          <w:sz w:val="24"/>
          <w:szCs w:val="24"/>
          <w:u w:val="single"/>
        </w:rPr>
      </w:pPr>
    </w:p>
    <w:p w:rsidR="00504BA7" w:rsidRPr="00BA4275" w:rsidRDefault="00504BA7" w:rsidP="002F4A00">
      <w:pPr>
        <w:pStyle w:val="CommentText"/>
        <w:spacing w:after="120"/>
        <w:jc w:val="both"/>
        <w:rPr>
          <w:rFonts w:ascii="Times New Roman" w:hAnsi="Times New Roman" w:cs="Times New Roman"/>
          <w:sz w:val="24"/>
          <w:szCs w:val="24"/>
          <w:u w:val="single"/>
        </w:rPr>
      </w:pPr>
      <w:r w:rsidRPr="00BA4275">
        <w:rPr>
          <w:rFonts w:ascii="Times New Roman" w:hAnsi="Times New Roman" w:cs="Times New Roman"/>
          <w:sz w:val="24"/>
          <w:szCs w:val="24"/>
          <w:u w:val="single"/>
        </w:rPr>
        <w:t>Secondary outcomes</w:t>
      </w:r>
    </w:p>
    <w:p w:rsidR="00504BA7" w:rsidRPr="00BA4275" w:rsidRDefault="00504BA7" w:rsidP="002F4A00">
      <w:pPr>
        <w:spacing w:after="120" w:line="240" w:lineRule="auto"/>
        <w:jc w:val="both"/>
        <w:rPr>
          <w:rFonts w:ascii="Times New Roman" w:hAnsi="Times New Roman" w:cs="Times New Roman"/>
          <w:sz w:val="24"/>
          <w:szCs w:val="24"/>
        </w:rPr>
      </w:pPr>
      <w:r w:rsidRPr="00BA4275">
        <w:rPr>
          <w:rFonts w:ascii="Times New Roman" w:hAnsi="Times New Roman" w:cs="Times New Roman"/>
          <w:sz w:val="24"/>
          <w:szCs w:val="24"/>
        </w:rPr>
        <w:t>Our secondary effectiveness outcomes include</w:t>
      </w:r>
      <w:r w:rsidR="002F4A00">
        <w:rPr>
          <w:rFonts w:ascii="Times New Roman" w:hAnsi="Times New Roman" w:cs="Times New Roman"/>
          <w:sz w:val="24"/>
          <w:szCs w:val="24"/>
        </w:rPr>
        <w:t xml:space="preserve"> frequency</w:t>
      </w:r>
      <w:r w:rsidRPr="00BA4275">
        <w:rPr>
          <w:rFonts w:ascii="Times New Roman" w:hAnsi="Times New Roman" w:cs="Times New Roman"/>
          <w:sz w:val="24"/>
          <w:szCs w:val="24"/>
        </w:rPr>
        <w:t xml:space="preserve"> of and time to treatment failure, defined as the proportion of patients in each group who discontinued t</w:t>
      </w:r>
      <w:r w:rsidR="002F4A00">
        <w:rPr>
          <w:rFonts w:ascii="Times New Roman" w:hAnsi="Times New Roman" w:cs="Times New Roman"/>
          <w:sz w:val="24"/>
          <w:szCs w:val="24"/>
        </w:rPr>
        <w:t xml:space="preserve">reatment due to ineffectiveness, </w:t>
      </w:r>
      <w:r w:rsidRPr="00BA4275">
        <w:rPr>
          <w:rFonts w:ascii="Times New Roman" w:hAnsi="Times New Roman" w:cs="Times New Roman"/>
          <w:sz w:val="24"/>
          <w:szCs w:val="24"/>
        </w:rPr>
        <w:t xml:space="preserve">and </w:t>
      </w:r>
      <w:r w:rsidR="00B572ED" w:rsidRPr="00BA4275">
        <w:rPr>
          <w:rFonts w:ascii="Times New Roman" w:hAnsi="Times New Roman" w:cs="Times New Roman"/>
          <w:sz w:val="24"/>
          <w:szCs w:val="24"/>
        </w:rPr>
        <w:t xml:space="preserve">as </w:t>
      </w:r>
      <w:r w:rsidRPr="00BA4275">
        <w:rPr>
          <w:rFonts w:ascii="Times New Roman" w:hAnsi="Times New Roman" w:cs="Times New Roman"/>
          <w:sz w:val="24"/>
          <w:szCs w:val="24"/>
        </w:rPr>
        <w:t xml:space="preserve">the time, in months, from cohort entry until treatment failure. We will also measure long-term outcomes, including </w:t>
      </w:r>
      <w:r w:rsidR="00CA0DB2" w:rsidRPr="00BA4275">
        <w:rPr>
          <w:rFonts w:ascii="Times New Roman" w:hAnsi="Times New Roman" w:cs="Times New Roman"/>
          <w:sz w:val="24"/>
          <w:szCs w:val="24"/>
        </w:rPr>
        <w:t xml:space="preserve">the </w:t>
      </w:r>
      <w:r w:rsidRPr="00BA4275">
        <w:rPr>
          <w:rFonts w:ascii="Times New Roman" w:hAnsi="Times New Roman" w:cs="Times New Roman"/>
          <w:sz w:val="24"/>
          <w:szCs w:val="24"/>
        </w:rPr>
        <w:t xml:space="preserve">frequency </w:t>
      </w:r>
      <w:r w:rsidR="00CD0A9A" w:rsidRPr="00BA4275">
        <w:rPr>
          <w:rFonts w:ascii="Times New Roman" w:hAnsi="Times New Roman" w:cs="Times New Roman"/>
          <w:sz w:val="24"/>
          <w:szCs w:val="24"/>
        </w:rPr>
        <w:t xml:space="preserve">of </w:t>
      </w:r>
      <w:r w:rsidRPr="00BA4275">
        <w:rPr>
          <w:rFonts w:ascii="Times New Roman" w:hAnsi="Times New Roman" w:cs="Times New Roman"/>
          <w:sz w:val="24"/>
          <w:szCs w:val="24"/>
        </w:rPr>
        <w:t xml:space="preserve">and time to sustained remission/maintenance of response (as outlined in Table 1), need for surgery, presence of erosions in RA and radiographic progression in AS, </w:t>
      </w:r>
      <w:r w:rsidR="00BB5997">
        <w:rPr>
          <w:rFonts w:ascii="Times New Roman" w:hAnsi="Times New Roman" w:cs="Times New Roman"/>
          <w:sz w:val="24"/>
          <w:szCs w:val="24"/>
        </w:rPr>
        <w:t>i</w:t>
      </w:r>
      <w:r w:rsidR="00BB5997" w:rsidRPr="0030423A">
        <w:rPr>
          <w:rFonts w:ascii="Times New Roman" w:hAnsi="Times New Roman" w:cs="Times New Roman"/>
          <w:sz w:val="24"/>
          <w:szCs w:val="24"/>
        </w:rPr>
        <w:t>mprovement or normalization of C-reactive protein and fecal calprotectin</w:t>
      </w:r>
      <w:r w:rsidR="00BB5997">
        <w:rPr>
          <w:rFonts w:ascii="Times New Roman" w:hAnsi="Times New Roman" w:cs="Times New Roman"/>
          <w:sz w:val="24"/>
          <w:szCs w:val="24"/>
        </w:rPr>
        <w:t xml:space="preserve"> </w:t>
      </w:r>
      <w:r w:rsidRPr="00BA4275">
        <w:rPr>
          <w:rFonts w:ascii="Times New Roman" w:hAnsi="Times New Roman" w:cs="Times New Roman"/>
          <w:sz w:val="24"/>
          <w:szCs w:val="24"/>
        </w:rPr>
        <w:t>in CD and UC.</w:t>
      </w:r>
    </w:p>
    <w:p w:rsidR="00504BA7" w:rsidRPr="00BA4275" w:rsidRDefault="00504BA7" w:rsidP="002F4A00">
      <w:pPr>
        <w:spacing w:after="120" w:line="240" w:lineRule="auto"/>
        <w:jc w:val="both"/>
        <w:rPr>
          <w:rFonts w:ascii="Times New Roman" w:hAnsi="Times New Roman" w:cs="Times New Roman"/>
          <w:sz w:val="24"/>
          <w:szCs w:val="24"/>
        </w:rPr>
      </w:pPr>
      <w:r w:rsidRPr="00BA4275">
        <w:rPr>
          <w:rFonts w:ascii="Times New Roman" w:hAnsi="Times New Roman" w:cs="Times New Roman"/>
          <w:sz w:val="24"/>
          <w:szCs w:val="24"/>
        </w:rPr>
        <w:t xml:space="preserve">Additional secondary outcomes are: </w:t>
      </w:r>
      <w:proofErr w:type="spellStart"/>
      <w:r w:rsidRPr="00BA4275">
        <w:rPr>
          <w:rFonts w:ascii="Times New Roman" w:hAnsi="Times New Roman" w:cs="Times New Roman"/>
          <w:sz w:val="24"/>
          <w:szCs w:val="24"/>
        </w:rPr>
        <w:t>i</w:t>
      </w:r>
      <w:proofErr w:type="spellEnd"/>
      <w:r w:rsidRPr="00BA4275">
        <w:rPr>
          <w:rFonts w:ascii="Times New Roman" w:hAnsi="Times New Roman" w:cs="Times New Roman"/>
          <w:sz w:val="24"/>
          <w:szCs w:val="24"/>
        </w:rPr>
        <w:t xml:space="preserve">) </w:t>
      </w:r>
      <w:r w:rsidRPr="00BA4275">
        <w:rPr>
          <w:rFonts w:ascii="Times New Roman" w:hAnsi="Times New Roman" w:cs="Times New Roman"/>
          <w:sz w:val="24"/>
          <w:szCs w:val="24"/>
          <w:lang w:val="en-US"/>
        </w:rPr>
        <w:t xml:space="preserve">use of </w:t>
      </w:r>
      <w:r w:rsidRPr="00BA4275">
        <w:rPr>
          <w:rFonts w:ascii="Times New Roman" w:hAnsi="Times New Roman" w:cs="Times New Roman"/>
          <w:sz w:val="24"/>
          <w:szCs w:val="24"/>
        </w:rPr>
        <w:t xml:space="preserve">key medications, measured as the </w:t>
      </w:r>
      <w:r w:rsidRPr="00BA4275">
        <w:rPr>
          <w:rFonts w:ascii="Times New Roman" w:hAnsi="Times New Roman" w:cs="Times New Roman"/>
          <w:sz w:val="24"/>
          <w:szCs w:val="24"/>
          <w:lang w:val="en-US"/>
        </w:rPr>
        <w:t xml:space="preserve">frequency of patients </w:t>
      </w:r>
      <w:r w:rsidR="00D3556D">
        <w:rPr>
          <w:rFonts w:ascii="Times New Roman" w:hAnsi="Times New Roman" w:cs="Times New Roman"/>
          <w:sz w:val="24"/>
          <w:szCs w:val="24"/>
          <w:lang w:val="en-US"/>
        </w:rPr>
        <w:t>starting</w:t>
      </w:r>
      <w:r w:rsidRPr="00BA4275">
        <w:rPr>
          <w:rFonts w:ascii="Times New Roman" w:hAnsi="Times New Roman" w:cs="Times New Roman"/>
          <w:sz w:val="24"/>
          <w:szCs w:val="24"/>
          <w:lang w:val="en-US"/>
        </w:rPr>
        <w:t xml:space="preserve"> or changing</w:t>
      </w:r>
      <w:r w:rsidRPr="00BA4275">
        <w:rPr>
          <w:rFonts w:ascii="Times New Roman" w:hAnsi="Times New Roman" w:cs="Times New Roman"/>
          <w:sz w:val="24"/>
          <w:szCs w:val="24"/>
        </w:rPr>
        <w:t xml:space="preserve"> dose of corticosteroids or </w:t>
      </w:r>
      <w:r w:rsidR="00680B16">
        <w:rPr>
          <w:rFonts w:ascii="Times New Roman" w:hAnsi="Times New Roman" w:cs="Times New Roman"/>
          <w:sz w:val="24"/>
          <w:szCs w:val="24"/>
        </w:rPr>
        <w:t xml:space="preserve">non-biologic and biologic </w:t>
      </w:r>
      <w:r w:rsidRPr="00BA4275">
        <w:rPr>
          <w:rFonts w:ascii="Times New Roman" w:hAnsi="Times New Roman" w:cs="Times New Roman"/>
          <w:sz w:val="24"/>
          <w:szCs w:val="24"/>
        </w:rPr>
        <w:t>DMARDs</w:t>
      </w:r>
      <w:r w:rsidR="00BA4275">
        <w:rPr>
          <w:rFonts w:ascii="Times New Roman" w:hAnsi="Times New Roman" w:cs="Times New Roman"/>
          <w:sz w:val="24"/>
          <w:szCs w:val="24"/>
        </w:rPr>
        <w:t xml:space="preserve"> drugs</w:t>
      </w:r>
      <w:r w:rsidRPr="00BA4275">
        <w:rPr>
          <w:rFonts w:ascii="Times New Roman" w:hAnsi="Times New Roman" w:cs="Times New Roman"/>
          <w:sz w:val="24"/>
          <w:szCs w:val="24"/>
        </w:rPr>
        <w:t xml:space="preserve"> during follow-up; ii) </w:t>
      </w:r>
      <w:r w:rsidR="00CD0A9A" w:rsidRPr="00BA4275">
        <w:rPr>
          <w:rFonts w:ascii="Times New Roman" w:hAnsi="Times New Roman" w:cs="Times New Roman"/>
          <w:sz w:val="24"/>
          <w:szCs w:val="24"/>
        </w:rPr>
        <w:t xml:space="preserve">rates of treatment failure, measured as the proportion of patients in each group who discontinued treatment due to ineffectiveness during follow-up; and iii) patient-reported outcomes, measured as changes over time in </w:t>
      </w:r>
      <w:r w:rsidR="00042AC9">
        <w:rPr>
          <w:rFonts w:ascii="Times New Roman" w:hAnsi="Times New Roman" w:cs="Times New Roman"/>
          <w:sz w:val="24"/>
          <w:szCs w:val="24"/>
        </w:rPr>
        <w:t>the</w:t>
      </w:r>
      <w:r w:rsidR="00B921F1">
        <w:rPr>
          <w:rFonts w:ascii="Times New Roman" w:hAnsi="Times New Roman" w:cs="Times New Roman"/>
          <w:sz w:val="24"/>
          <w:szCs w:val="24"/>
        </w:rPr>
        <w:t xml:space="preserve"> EQ-5D,</w:t>
      </w:r>
      <w:r w:rsidR="00042AC9">
        <w:rPr>
          <w:rFonts w:ascii="Times New Roman" w:hAnsi="Times New Roman" w:cs="Times New Roman"/>
          <w:sz w:val="24"/>
          <w:szCs w:val="24"/>
        </w:rPr>
        <w:t xml:space="preserve"> </w:t>
      </w:r>
      <w:r w:rsidR="00CD0A9A" w:rsidRPr="00BA4275">
        <w:rPr>
          <w:rFonts w:ascii="Times New Roman" w:hAnsi="Times New Roman" w:cs="Times New Roman"/>
          <w:sz w:val="24"/>
          <w:szCs w:val="24"/>
        </w:rPr>
        <w:t>HAQ-DI</w:t>
      </w:r>
      <w:r w:rsidR="00042AC9">
        <w:rPr>
          <w:rFonts w:ascii="Times New Roman" w:hAnsi="Times New Roman" w:cs="Times New Roman"/>
          <w:sz w:val="24"/>
          <w:szCs w:val="24"/>
        </w:rPr>
        <w:t xml:space="preserve">, </w:t>
      </w:r>
      <w:r w:rsidR="00042AC9" w:rsidRPr="0030423A">
        <w:rPr>
          <w:rFonts w:ascii="Times New Roman" w:hAnsi="Times New Roman" w:cs="Times New Roman"/>
          <w:sz w:val="24"/>
          <w:szCs w:val="24"/>
        </w:rPr>
        <w:t>SIBDQ</w:t>
      </w:r>
      <w:r w:rsidR="00680B16">
        <w:rPr>
          <w:rFonts w:ascii="Times New Roman" w:hAnsi="Times New Roman" w:cs="Times New Roman"/>
          <w:sz w:val="24"/>
          <w:szCs w:val="24"/>
        </w:rPr>
        <w:t>, VAS</w:t>
      </w:r>
      <w:r w:rsidR="00460772">
        <w:rPr>
          <w:rFonts w:ascii="Times New Roman" w:hAnsi="Times New Roman" w:cs="Times New Roman"/>
          <w:sz w:val="24"/>
          <w:szCs w:val="24"/>
        </w:rPr>
        <w:t xml:space="preserve"> and </w:t>
      </w:r>
      <w:r w:rsidR="00D63670">
        <w:rPr>
          <w:rFonts w:ascii="Times New Roman" w:hAnsi="Times New Roman" w:cs="Times New Roman"/>
          <w:sz w:val="24"/>
          <w:szCs w:val="24"/>
        </w:rPr>
        <w:t>VR-12</w:t>
      </w:r>
      <w:r w:rsidR="00CD0A9A" w:rsidRPr="00BA4275">
        <w:rPr>
          <w:rFonts w:ascii="Times New Roman" w:hAnsi="Times New Roman" w:cs="Times New Roman"/>
          <w:sz w:val="24"/>
          <w:szCs w:val="24"/>
        </w:rPr>
        <w:t>.</w:t>
      </w:r>
    </w:p>
    <w:p w:rsidR="0072183D" w:rsidRPr="00BA4275" w:rsidRDefault="00504BA7" w:rsidP="002F4A00">
      <w:pPr>
        <w:spacing w:after="120" w:line="240" w:lineRule="auto"/>
        <w:jc w:val="both"/>
        <w:rPr>
          <w:rFonts w:ascii="Times New Roman" w:hAnsi="Times New Roman" w:cs="Times New Roman"/>
          <w:sz w:val="24"/>
          <w:szCs w:val="24"/>
          <w:u w:val="single"/>
        </w:rPr>
      </w:pPr>
      <w:r w:rsidRPr="00BA4275">
        <w:rPr>
          <w:rFonts w:ascii="Times New Roman" w:hAnsi="Times New Roman" w:cs="Times New Roman"/>
          <w:sz w:val="24"/>
          <w:szCs w:val="24"/>
          <w:u w:val="single"/>
        </w:rPr>
        <w:t xml:space="preserve">Safety outcomes: </w:t>
      </w:r>
      <w:r w:rsidR="0072183D" w:rsidRPr="00BA4275">
        <w:rPr>
          <w:rFonts w:ascii="Times New Roman" w:hAnsi="Times New Roman" w:cs="Times New Roman"/>
          <w:sz w:val="24"/>
          <w:szCs w:val="24"/>
          <w:u w:val="single"/>
        </w:rPr>
        <w:t>A</w:t>
      </w:r>
      <w:r w:rsidR="00334786" w:rsidRPr="00BA4275">
        <w:rPr>
          <w:rFonts w:ascii="Times New Roman" w:hAnsi="Times New Roman" w:cs="Times New Roman"/>
          <w:sz w:val="24"/>
          <w:szCs w:val="24"/>
          <w:u w:val="single"/>
        </w:rPr>
        <w:t xml:space="preserve">dverse </w:t>
      </w:r>
      <w:r w:rsidR="0072183D" w:rsidRPr="00BA4275">
        <w:rPr>
          <w:rFonts w:ascii="Times New Roman" w:hAnsi="Times New Roman" w:cs="Times New Roman"/>
          <w:sz w:val="24"/>
          <w:szCs w:val="24"/>
          <w:u w:val="single"/>
        </w:rPr>
        <w:t>E</w:t>
      </w:r>
      <w:r w:rsidR="00334786" w:rsidRPr="00BA4275">
        <w:rPr>
          <w:rFonts w:ascii="Times New Roman" w:hAnsi="Times New Roman" w:cs="Times New Roman"/>
          <w:sz w:val="24"/>
          <w:szCs w:val="24"/>
          <w:u w:val="single"/>
        </w:rPr>
        <w:t>vents (AEs)</w:t>
      </w:r>
      <w:r w:rsidR="0072183D" w:rsidRPr="00BA4275">
        <w:rPr>
          <w:rFonts w:ascii="Times New Roman" w:hAnsi="Times New Roman" w:cs="Times New Roman"/>
          <w:sz w:val="24"/>
          <w:szCs w:val="24"/>
          <w:u w:val="single"/>
        </w:rPr>
        <w:t xml:space="preserve"> and </w:t>
      </w:r>
      <w:r w:rsidR="00334786" w:rsidRPr="00BA4275">
        <w:rPr>
          <w:rFonts w:ascii="Times New Roman" w:hAnsi="Times New Roman" w:cs="Times New Roman"/>
          <w:sz w:val="24"/>
          <w:szCs w:val="24"/>
          <w:u w:val="single"/>
        </w:rPr>
        <w:t>S</w:t>
      </w:r>
      <w:r w:rsidR="0072183D" w:rsidRPr="00BA4275">
        <w:rPr>
          <w:rFonts w:ascii="Times New Roman" w:hAnsi="Times New Roman" w:cs="Times New Roman"/>
          <w:sz w:val="24"/>
          <w:szCs w:val="24"/>
          <w:u w:val="single"/>
        </w:rPr>
        <w:t>erious AEs</w:t>
      </w:r>
      <w:r w:rsidR="00334786" w:rsidRPr="00BA4275">
        <w:rPr>
          <w:rFonts w:ascii="Times New Roman" w:hAnsi="Times New Roman" w:cs="Times New Roman"/>
          <w:sz w:val="24"/>
          <w:szCs w:val="24"/>
          <w:u w:val="single"/>
        </w:rPr>
        <w:t xml:space="preserve"> (SAEs)</w:t>
      </w:r>
    </w:p>
    <w:p w:rsidR="0072183D" w:rsidRDefault="00827B3A" w:rsidP="002F4A00">
      <w:pPr>
        <w:pStyle w:val="CommentText"/>
        <w:spacing w:after="120"/>
        <w:jc w:val="both"/>
        <w:rPr>
          <w:rFonts w:ascii="Times New Roman" w:hAnsi="Times New Roman" w:cs="Times New Roman"/>
          <w:sz w:val="24"/>
          <w:szCs w:val="24"/>
        </w:rPr>
      </w:pPr>
      <w:r w:rsidRPr="00BA4275">
        <w:rPr>
          <w:rFonts w:ascii="Times New Roman" w:hAnsi="Times New Roman" w:cs="Times New Roman"/>
          <w:sz w:val="24"/>
          <w:szCs w:val="24"/>
        </w:rPr>
        <w:t>Adverse events (AEs) will be assessed by the tre</w:t>
      </w:r>
      <w:r w:rsidR="006C0687" w:rsidRPr="00BA4275">
        <w:rPr>
          <w:rFonts w:ascii="Times New Roman" w:hAnsi="Times New Roman" w:cs="Times New Roman"/>
          <w:sz w:val="24"/>
          <w:szCs w:val="24"/>
        </w:rPr>
        <w:t xml:space="preserve">ating </w:t>
      </w:r>
      <w:r w:rsidR="00334786" w:rsidRPr="00BA4275">
        <w:rPr>
          <w:rFonts w:ascii="Times New Roman" w:hAnsi="Times New Roman" w:cs="Times New Roman"/>
          <w:sz w:val="24"/>
          <w:szCs w:val="24"/>
        </w:rPr>
        <w:t xml:space="preserve">physician, who will judge the </w:t>
      </w:r>
      <w:r w:rsidRPr="00BA4275">
        <w:rPr>
          <w:rFonts w:ascii="Times New Roman" w:hAnsi="Times New Roman" w:cs="Times New Roman"/>
          <w:sz w:val="24"/>
          <w:szCs w:val="24"/>
        </w:rPr>
        <w:t xml:space="preserve">relationship between the study drug and the AE. SAEs </w:t>
      </w:r>
      <w:r w:rsidR="00504BA7" w:rsidRPr="00BA4275">
        <w:rPr>
          <w:rFonts w:ascii="Times New Roman" w:hAnsi="Times New Roman" w:cs="Times New Roman"/>
          <w:sz w:val="24"/>
          <w:szCs w:val="24"/>
        </w:rPr>
        <w:t xml:space="preserve">(our primary outcome for safety) </w:t>
      </w:r>
      <w:r w:rsidRPr="00BA4275">
        <w:rPr>
          <w:rFonts w:ascii="Times New Roman" w:hAnsi="Times New Roman" w:cs="Times New Roman"/>
          <w:sz w:val="24"/>
          <w:szCs w:val="24"/>
        </w:rPr>
        <w:t>will be defined as an AE that is fatal or life-threatening, requiring or extend</w:t>
      </w:r>
      <w:r w:rsidR="00334786" w:rsidRPr="00BA4275">
        <w:rPr>
          <w:rFonts w:ascii="Times New Roman" w:hAnsi="Times New Roman" w:cs="Times New Roman"/>
          <w:sz w:val="24"/>
          <w:szCs w:val="24"/>
        </w:rPr>
        <w:t>ing a</w:t>
      </w:r>
      <w:r w:rsidRPr="00BA4275">
        <w:rPr>
          <w:rFonts w:ascii="Times New Roman" w:hAnsi="Times New Roman" w:cs="Times New Roman"/>
          <w:sz w:val="24"/>
          <w:szCs w:val="24"/>
        </w:rPr>
        <w:t xml:space="preserve"> patient</w:t>
      </w:r>
      <w:r w:rsidR="00334786" w:rsidRPr="00BA4275">
        <w:rPr>
          <w:rFonts w:ascii="Times New Roman" w:hAnsi="Times New Roman" w:cs="Times New Roman"/>
          <w:sz w:val="24"/>
          <w:szCs w:val="24"/>
        </w:rPr>
        <w:t>’s</w:t>
      </w:r>
      <w:r w:rsidRPr="00BA4275">
        <w:rPr>
          <w:rFonts w:ascii="Times New Roman" w:hAnsi="Times New Roman" w:cs="Times New Roman"/>
          <w:sz w:val="24"/>
          <w:szCs w:val="24"/>
        </w:rPr>
        <w:t xml:space="preserve"> hospitalization, resulting in persistent or significant disability or incapacity, inducing a congenital anomaly or birth defect, or </w:t>
      </w:r>
      <w:r w:rsidR="00910F3A" w:rsidRPr="00BA4275">
        <w:rPr>
          <w:rFonts w:ascii="Times New Roman" w:hAnsi="Times New Roman" w:cs="Times New Roman"/>
          <w:sz w:val="24"/>
          <w:szCs w:val="24"/>
        </w:rPr>
        <w:t xml:space="preserve">otherwise </w:t>
      </w:r>
      <w:r w:rsidRPr="00BA4275">
        <w:rPr>
          <w:rFonts w:ascii="Times New Roman" w:hAnsi="Times New Roman" w:cs="Times New Roman"/>
          <w:sz w:val="24"/>
          <w:szCs w:val="24"/>
        </w:rPr>
        <w:t>be considered important medical event</w:t>
      </w:r>
      <w:r w:rsidR="00910F3A" w:rsidRPr="00BA4275">
        <w:rPr>
          <w:rFonts w:ascii="Times New Roman" w:hAnsi="Times New Roman" w:cs="Times New Roman"/>
          <w:sz w:val="24"/>
          <w:szCs w:val="24"/>
        </w:rPr>
        <w:t xml:space="preserve"> by the physician</w:t>
      </w:r>
      <w:r w:rsidRPr="00BA4275">
        <w:rPr>
          <w:rFonts w:ascii="Times New Roman" w:hAnsi="Times New Roman" w:cs="Times New Roman"/>
          <w:sz w:val="24"/>
          <w:szCs w:val="24"/>
        </w:rPr>
        <w:t xml:space="preserve">. All deaths will be reported whether they were treatment-related or not. </w:t>
      </w:r>
      <w:r w:rsidR="005F25A2" w:rsidRPr="00BA4275">
        <w:rPr>
          <w:rFonts w:ascii="Times New Roman" w:hAnsi="Times New Roman" w:cs="Times New Roman"/>
          <w:sz w:val="24"/>
          <w:szCs w:val="24"/>
        </w:rPr>
        <w:t xml:space="preserve">Adverse events of special interest for this study </w:t>
      </w:r>
      <w:r w:rsidR="006C0687" w:rsidRPr="00BA4275">
        <w:rPr>
          <w:rFonts w:ascii="Times New Roman" w:hAnsi="Times New Roman" w:cs="Times New Roman"/>
          <w:sz w:val="24"/>
          <w:szCs w:val="24"/>
        </w:rPr>
        <w:t>include infection (</w:t>
      </w:r>
      <w:r w:rsidR="005F25A2" w:rsidRPr="00BA4275">
        <w:rPr>
          <w:rFonts w:ascii="Times New Roman" w:hAnsi="Times New Roman" w:cs="Times New Roman"/>
          <w:sz w:val="24"/>
          <w:szCs w:val="24"/>
        </w:rPr>
        <w:t xml:space="preserve">tuberculosis, </w:t>
      </w:r>
      <w:r w:rsidR="00334786" w:rsidRPr="00BA4275">
        <w:rPr>
          <w:rFonts w:ascii="Times New Roman" w:hAnsi="Times New Roman" w:cs="Times New Roman"/>
          <w:sz w:val="24"/>
          <w:szCs w:val="24"/>
        </w:rPr>
        <w:t xml:space="preserve">fungal and other opportunistic infections, hepatitis B reactivation, and </w:t>
      </w:r>
      <w:r w:rsidR="005F25A2" w:rsidRPr="00BA4275">
        <w:rPr>
          <w:rFonts w:ascii="Times New Roman" w:hAnsi="Times New Roman" w:cs="Times New Roman"/>
          <w:sz w:val="24"/>
          <w:szCs w:val="24"/>
        </w:rPr>
        <w:t>infections</w:t>
      </w:r>
      <w:r w:rsidR="00334786" w:rsidRPr="00BA4275">
        <w:rPr>
          <w:rFonts w:ascii="Times New Roman" w:hAnsi="Times New Roman" w:cs="Times New Roman"/>
          <w:sz w:val="24"/>
          <w:szCs w:val="24"/>
        </w:rPr>
        <w:t xml:space="preserve"> </w:t>
      </w:r>
      <w:r w:rsidR="006C0687" w:rsidRPr="00BA4275">
        <w:rPr>
          <w:rFonts w:ascii="Times New Roman" w:hAnsi="Times New Roman" w:cs="Times New Roman"/>
          <w:sz w:val="24"/>
          <w:szCs w:val="24"/>
        </w:rPr>
        <w:t>requiring hospitalization, an emergency room visit, or intravenous antibiotics</w:t>
      </w:r>
      <w:r w:rsidR="00334786" w:rsidRPr="00BA4275">
        <w:rPr>
          <w:rFonts w:ascii="Times New Roman" w:hAnsi="Times New Roman" w:cs="Times New Roman"/>
          <w:sz w:val="24"/>
          <w:szCs w:val="24"/>
        </w:rPr>
        <w:t xml:space="preserve">) </w:t>
      </w:r>
      <w:r w:rsidRPr="00BA4275">
        <w:rPr>
          <w:rFonts w:ascii="Times New Roman" w:hAnsi="Times New Roman" w:cs="Times New Roman"/>
          <w:sz w:val="24"/>
          <w:szCs w:val="24"/>
        </w:rPr>
        <w:t>serious infusion reactions</w:t>
      </w:r>
      <w:r w:rsidR="00334786" w:rsidRPr="00BA4275">
        <w:rPr>
          <w:rFonts w:ascii="Times New Roman" w:hAnsi="Times New Roman" w:cs="Times New Roman"/>
          <w:sz w:val="24"/>
          <w:szCs w:val="24"/>
        </w:rPr>
        <w:t>,</w:t>
      </w:r>
      <w:r w:rsidRPr="00BA4275">
        <w:rPr>
          <w:rFonts w:ascii="Times New Roman" w:hAnsi="Times New Roman" w:cs="Times New Roman"/>
          <w:sz w:val="24"/>
          <w:szCs w:val="24"/>
        </w:rPr>
        <w:t xml:space="preserve"> </w:t>
      </w:r>
      <w:proofErr w:type="spellStart"/>
      <w:r w:rsidR="00B2686B" w:rsidRPr="00BA4275">
        <w:rPr>
          <w:rFonts w:ascii="Times New Roman" w:hAnsi="Times New Roman" w:cs="Times New Roman"/>
          <w:sz w:val="24"/>
          <w:szCs w:val="24"/>
        </w:rPr>
        <w:t>cytopenias</w:t>
      </w:r>
      <w:proofErr w:type="spellEnd"/>
      <w:r w:rsidR="00B2686B" w:rsidRPr="00BA4275">
        <w:rPr>
          <w:rFonts w:ascii="Times New Roman" w:hAnsi="Times New Roman" w:cs="Times New Roman"/>
          <w:sz w:val="24"/>
          <w:szCs w:val="24"/>
        </w:rPr>
        <w:t xml:space="preserve"> (i.e. leukopenia, drug-related anemia)</w:t>
      </w:r>
      <w:r w:rsidRPr="00BA4275">
        <w:rPr>
          <w:rFonts w:ascii="Times New Roman" w:hAnsi="Times New Roman" w:cs="Times New Roman"/>
          <w:sz w:val="24"/>
          <w:szCs w:val="24"/>
        </w:rPr>
        <w:t xml:space="preserve">, </w:t>
      </w:r>
      <w:r w:rsidR="00B2686B" w:rsidRPr="00BA4275">
        <w:rPr>
          <w:rFonts w:ascii="Times New Roman" w:hAnsi="Times New Roman" w:cs="Times New Roman"/>
          <w:sz w:val="24"/>
          <w:szCs w:val="24"/>
        </w:rPr>
        <w:t xml:space="preserve">new-onset </w:t>
      </w:r>
      <w:r w:rsidRPr="00BA4275">
        <w:rPr>
          <w:rFonts w:ascii="Times New Roman" w:hAnsi="Times New Roman" w:cs="Times New Roman"/>
          <w:sz w:val="24"/>
          <w:szCs w:val="24"/>
        </w:rPr>
        <w:t>c</w:t>
      </w:r>
      <w:r w:rsidR="005F25A2" w:rsidRPr="00BA4275">
        <w:rPr>
          <w:rFonts w:ascii="Times New Roman" w:hAnsi="Times New Roman" w:cs="Times New Roman"/>
          <w:sz w:val="24"/>
          <w:szCs w:val="24"/>
        </w:rPr>
        <w:t>ongestive heart failure</w:t>
      </w:r>
      <w:r w:rsidRPr="00BA4275">
        <w:rPr>
          <w:rFonts w:ascii="Times New Roman" w:hAnsi="Times New Roman" w:cs="Times New Roman"/>
          <w:sz w:val="24"/>
          <w:szCs w:val="24"/>
        </w:rPr>
        <w:t>,</w:t>
      </w:r>
      <w:r w:rsidR="005F25A2" w:rsidRPr="00BA4275">
        <w:rPr>
          <w:rFonts w:ascii="Times New Roman" w:hAnsi="Times New Roman" w:cs="Times New Roman"/>
          <w:sz w:val="24"/>
          <w:szCs w:val="24"/>
        </w:rPr>
        <w:t xml:space="preserve"> </w:t>
      </w:r>
      <w:r w:rsidR="006C0687" w:rsidRPr="00BA4275">
        <w:rPr>
          <w:rFonts w:ascii="Times New Roman" w:hAnsi="Times New Roman" w:cs="Times New Roman"/>
          <w:sz w:val="24"/>
          <w:szCs w:val="24"/>
        </w:rPr>
        <w:t>malignancies, and</w:t>
      </w:r>
      <w:r w:rsidRPr="00BA4275">
        <w:rPr>
          <w:rFonts w:ascii="Times New Roman" w:hAnsi="Times New Roman" w:cs="Times New Roman"/>
          <w:sz w:val="24"/>
          <w:szCs w:val="24"/>
        </w:rPr>
        <w:t xml:space="preserve"> demyelinating disorders</w:t>
      </w:r>
      <w:r w:rsidRPr="00EF3776">
        <w:rPr>
          <w:rFonts w:ascii="Times New Roman" w:hAnsi="Times New Roman" w:cs="Times New Roman"/>
          <w:sz w:val="24"/>
          <w:szCs w:val="24"/>
        </w:rPr>
        <w:t>.</w:t>
      </w:r>
    </w:p>
    <w:p w:rsidR="0089197D" w:rsidRPr="00EF3776" w:rsidRDefault="00C27A08" w:rsidP="002F4A00">
      <w:pPr>
        <w:spacing w:after="120" w:line="240" w:lineRule="auto"/>
        <w:rPr>
          <w:rFonts w:ascii="Times New Roman" w:hAnsi="Times New Roman" w:cs="Times New Roman"/>
          <w:i/>
          <w:sz w:val="24"/>
          <w:szCs w:val="24"/>
        </w:rPr>
      </w:pPr>
      <w:r w:rsidRPr="00EF3776">
        <w:rPr>
          <w:rFonts w:ascii="Times New Roman" w:hAnsi="Times New Roman" w:cs="Times New Roman"/>
          <w:i/>
          <w:sz w:val="24"/>
          <w:szCs w:val="24"/>
        </w:rPr>
        <w:t>Statistical analysis</w:t>
      </w:r>
    </w:p>
    <w:p w:rsidR="00BA4275" w:rsidRPr="00EF3776" w:rsidRDefault="00BA4275"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 xml:space="preserve">Baseline characteristics will be presented using descriptive statistics to compare the two </w:t>
      </w:r>
      <w:r w:rsidR="000C5FE5">
        <w:rPr>
          <w:rFonts w:ascii="Times New Roman" w:hAnsi="Times New Roman" w:cs="Times New Roman"/>
          <w:sz w:val="24"/>
          <w:szCs w:val="24"/>
        </w:rPr>
        <w:t xml:space="preserve">treatment </w:t>
      </w:r>
      <w:r w:rsidRPr="00EF3776">
        <w:rPr>
          <w:rFonts w:ascii="Times New Roman" w:hAnsi="Times New Roman" w:cs="Times New Roman"/>
          <w:sz w:val="24"/>
          <w:szCs w:val="24"/>
        </w:rPr>
        <w:t>groups. All continuous data will be expressed as the median (</w:t>
      </w:r>
      <w:r>
        <w:rPr>
          <w:rFonts w:ascii="Times New Roman" w:hAnsi="Times New Roman" w:cs="Times New Roman"/>
          <w:sz w:val="24"/>
          <w:szCs w:val="24"/>
        </w:rPr>
        <w:t xml:space="preserve">with </w:t>
      </w:r>
      <w:r w:rsidRPr="00EF3776">
        <w:rPr>
          <w:rFonts w:ascii="Times New Roman" w:hAnsi="Times New Roman" w:cs="Times New Roman"/>
          <w:sz w:val="24"/>
          <w:szCs w:val="24"/>
        </w:rPr>
        <w:t>range or interquartile range</w:t>
      </w:r>
      <w:r>
        <w:rPr>
          <w:rFonts w:ascii="Times New Roman" w:hAnsi="Times New Roman" w:cs="Times New Roman"/>
          <w:sz w:val="24"/>
          <w:szCs w:val="24"/>
        </w:rPr>
        <w:t xml:space="preserve">, </w:t>
      </w:r>
      <w:r w:rsidRPr="00EF3776">
        <w:rPr>
          <w:rFonts w:ascii="Times New Roman" w:hAnsi="Times New Roman" w:cs="Times New Roman"/>
          <w:sz w:val="24"/>
          <w:szCs w:val="24"/>
        </w:rPr>
        <w:t>IQR) or mean (</w:t>
      </w:r>
      <w:r>
        <w:rPr>
          <w:rFonts w:ascii="Times New Roman" w:hAnsi="Times New Roman" w:cs="Times New Roman"/>
          <w:sz w:val="24"/>
          <w:szCs w:val="24"/>
        </w:rPr>
        <w:t xml:space="preserve">with </w:t>
      </w:r>
      <w:r w:rsidRPr="00EF3776">
        <w:rPr>
          <w:rFonts w:ascii="Times New Roman" w:hAnsi="Times New Roman" w:cs="Times New Roman"/>
          <w:sz w:val="24"/>
          <w:szCs w:val="24"/>
        </w:rPr>
        <w:t xml:space="preserve">standard </w:t>
      </w:r>
      <w:r>
        <w:rPr>
          <w:rFonts w:ascii="Times New Roman" w:hAnsi="Times New Roman" w:cs="Times New Roman"/>
          <w:sz w:val="24"/>
          <w:szCs w:val="24"/>
        </w:rPr>
        <w:t xml:space="preserve">deviation </w:t>
      </w:r>
      <w:r w:rsidRPr="00EF3776">
        <w:rPr>
          <w:rFonts w:ascii="Times New Roman" w:hAnsi="Times New Roman" w:cs="Times New Roman"/>
          <w:sz w:val="24"/>
          <w:szCs w:val="24"/>
        </w:rPr>
        <w:t xml:space="preserve">SD) when appropriate. Categorical data will be presented as counts and percentages. Further descriptive comparisons of follow-up </w:t>
      </w:r>
      <w:r w:rsidRPr="00EF3776">
        <w:rPr>
          <w:rFonts w:ascii="Times New Roman" w:hAnsi="Times New Roman" w:cs="Times New Roman"/>
          <w:sz w:val="24"/>
          <w:szCs w:val="24"/>
        </w:rPr>
        <w:lastRenderedPageBreak/>
        <w:t xml:space="preserve">data will include: mean and cumulative doses, augmentation/reduction of therapy, and initiation or changes in the dose of </w:t>
      </w:r>
      <w:r>
        <w:rPr>
          <w:rFonts w:ascii="Times New Roman" w:hAnsi="Times New Roman" w:cs="Times New Roman"/>
          <w:sz w:val="24"/>
          <w:szCs w:val="24"/>
        </w:rPr>
        <w:t>prednisone</w:t>
      </w:r>
      <w:r w:rsidRPr="00EF3776">
        <w:rPr>
          <w:rFonts w:ascii="Times New Roman" w:hAnsi="Times New Roman" w:cs="Times New Roman"/>
          <w:sz w:val="24"/>
          <w:szCs w:val="24"/>
        </w:rPr>
        <w:t xml:space="preserve"> and D</w:t>
      </w:r>
      <w:r w:rsidR="00FD329D">
        <w:rPr>
          <w:rFonts w:ascii="Times New Roman" w:hAnsi="Times New Roman" w:cs="Times New Roman"/>
          <w:sz w:val="24"/>
          <w:szCs w:val="24"/>
        </w:rPr>
        <w:t>MARDs/immunosuppressive agents.</w:t>
      </w:r>
    </w:p>
    <w:p w:rsidR="00BA4275" w:rsidRPr="00EF3776" w:rsidRDefault="00BA4275"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In univariate analysis, groups will be compared in terms of frequency of treatment discontinuation for any reason, treatment failure due to ineffectiveness</w:t>
      </w:r>
      <w:r w:rsidRPr="00EF3776">
        <w:rPr>
          <w:rStyle w:val="CommentReference"/>
          <w:rFonts w:ascii="Times New Roman" w:hAnsi="Times New Roman" w:cs="Times New Roman"/>
          <w:sz w:val="24"/>
          <w:szCs w:val="24"/>
        </w:rPr>
        <w:t>,</w:t>
      </w:r>
      <w:r w:rsidRPr="00EF3776">
        <w:rPr>
          <w:rFonts w:ascii="Times New Roman" w:hAnsi="Times New Roman" w:cs="Times New Roman"/>
          <w:sz w:val="24"/>
          <w:szCs w:val="24"/>
        </w:rPr>
        <w:t xml:space="preserve"> and the occurrence of AEs including SAEs. Clinical remission, disease progression,</w:t>
      </w:r>
      <w:r w:rsidR="000100C8">
        <w:rPr>
          <w:rFonts w:ascii="Times New Roman" w:hAnsi="Times New Roman" w:cs="Times New Roman"/>
          <w:sz w:val="24"/>
          <w:szCs w:val="24"/>
        </w:rPr>
        <w:t xml:space="preserve"> and patient-reported outcomes </w:t>
      </w:r>
      <w:r w:rsidRPr="00EF3776">
        <w:rPr>
          <w:rFonts w:ascii="Times New Roman" w:hAnsi="Times New Roman" w:cs="Times New Roman"/>
          <w:sz w:val="24"/>
          <w:szCs w:val="24"/>
        </w:rPr>
        <w:t>will be assessed at time points during follow-up. Disease damage will be assessed through presence of erosions</w:t>
      </w:r>
      <w:r w:rsidR="000C5FE5">
        <w:rPr>
          <w:rFonts w:ascii="Times New Roman" w:hAnsi="Times New Roman" w:cs="Times New Roman"/>
          <w:sz w:val="24"/>
          <w:szCs w:val="24"/>
        </w:rPr>
        <w:t>/</w:t>
      </w:r>
      <w:r w:rsidR="000C5FE5" w:rsidRPr="00EF3776">
        <w:rPr>
          <w:rFonts w:ascii="Times New Roman" w:hAnsi="Times New Roman" w:cs="Times New Roman"/>
          <w:sz w:val="24"/>
          <w:szCs w:val="24"/>
        </w:rPr>
        <w:t xml:space="preserve">radiographic progression </w:t>
      </w:r>
      <w:r w:rsidR="001F5DAA">
        <w:rPr>
          <w:rFonts w:ascii="Times New Roman" w:hAnsi="Times New Roman" w:cs="Times New Roman"/>
          <w:sz w:val="24"/>
          <w:szCs w:val="24"/>
        </w:rPr>
        <w:t xml:space="preserve">in RA and </w:t>
      </w:r>
      <w:r w:rsidRPr="00EF3776">
        <w:rPr>
          <w:rFonts w:ascii="Times New Roman" w:hAnsi="Times New Roman" w:cs="Times New Roman"/>
          <w:sz w:val="24"/>
          <w:szCs w:val="24"/>
        </w:rPr>
        <w:t xml:space="preserve">AS, and </w:t>
      </w:r>
      <w:r>
        <w:rPr>
          <w:rFonts w:ascii="Times New Roman" w:hAnsi="Times New Roman" w:cs="Times New Roman"/>
          <w:sz w:val="24"/>
          <w:szCs w:val="24"/>
        </w:rPr>
        <w:t>specific</w:t>
      </w:r>
      <w:r w:rsidRPr="00EF3776">
        <w:rPr>
          <w:rFonts w:ascii="Times New Roman" w:hAnsi="Times New Roman" w:cs="Times New Roman"/>
          <w:sz w:val="24"/>
          <w:szCs w:val="24"/>
        </w:rPr>
        <w:t xml:space="preserve"> surger</w:t>
      </w:r>
      <w:r>
        <w:rPr>
          <w:rFonts w:ascii="Times New Roman" w:hAnsi="Times New Roman" w:cs="Times New Roman"/>
          <w:sz w:val="24"/>
          <w:szCs w:val="24"/>
        </w:rPr>
        <w:t>ies (joint replacements in AS and RA, abdominal surgery for CD and UC)</w:t>
      </w:r>
      <w:r w:rsidRPr="00EF3776">
        <w:rPr>
          <w:rFonts w:ascii="Times New Roman" w:hAnsi="Times New Roman" w:cs="Times New Roman"/>
          <w:sz w:val="24"/>
          <w:szCs w:val="24"/>
        </w:rPr>
        <w:t>.</w:t>
      </w:r>
    </w:p>
    <w:p w:rsidR="00BA4275" w:rsidRPr="00EF3776" w:rsidRDefault="00BA4275"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For the continuous variables, the change over time between the two groups will be analysed using linear mixed models for repeated measures. Fixed effects of time will be estimated, and diagnosis, sex and age will be included in the analysi</w:t>
      </w:r>
      <w:r w:rsidR="00FD329D">
        <w:rPr>
          <w:rFonts w:ascii="Times New Roman" w:hAnsi="Times New Roman" w:cs="Times New Roman"/>
          <w:sz w:val="24"/>
          <w:szCs w:val="24"/>
        </w:rPr>
        <w:t>s as possible effect modifiers.</w:t>
      </w:r>
    </w:p>
    <w:p w:rsidR="00BA4275" w:rsidRPr="00EF3776" w:rsidRDefault="00BA4275"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 xml:space="preserve">Kaplan–Meier curves will be used to compare time from cohort entry to: </w:t>
      </w:r>
      <w:proofErr w:type="spellStart"/>
      <w:r w:rsidRPr="00EF3776">
        <w:rPr>
          <w:rFonts w:ascii="Times New Roman" w:hAnsi="Times New Roman" w:cs="Times New Roman"/>
          <w:sz w:val="24"/>
          <w:szCs w:val="24"/>
        </w:rPr>
        <w:t>i</w:t>
      </w:r>
      <w:proofErr w:type="spellEnd"/>
      <w:r w:rsidRPr="00EF3776">
        <w:rPr>
          <w:rFonts w:ascii="Times New Roman" w:hAnsi="Times New Roman" w:cs="Times New Roman"/>
          <w:sz w:val="24"/>
          <w:szCs w:val="24"/>
        </w:rPr>
        <w:t xml:space="preserve">) treatment discontinuation/switching for any reason, ii) treatment failure due to ineffectiveness; iii) first episode of clinical remission, iv) SAE v) disability. Additional Kaplan-Meier curves will be plotted to compare time under sustained remission (from first remission until loss of effectiveness). </w:t>
      </w:r>
    </w:p>
    <w:p w:rsidR="00BA4275" w:rsidRDefault="00BA4275"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Then the same outcomes will be assessed using multivariate survival analyses</w:t>
      </w:r>
      <w:r>
        <w:rPr>
          <w:rFonts w:ascii="Times New Roman" w:hAnsi="Times New Roman" w:cs="Times New Roman"/>
          <w:sz w:val="24"/>
          <w:szCs w:val="24"/>
        </w:rPr>
        <w:t xml:space="preserve"> during follow-up</w:t>
      </w:r>
      <w:r w:rsidRPr="00EF3776">
        <w:rPr>
          <w:rFonts w:ascii="Times New Roman" w:hAnsi="Times New Roman" w:cs="Times New Roman"/>
          <w:sz w:val="24"/>
          <w:szCs w:val="24"/>
        </w:rPr>
        <w:t xml:space="preserve">. In these analyses, the main exposure will be modeled as binary time-fixed indicator of drug used at cohort entry, as well as time-dependent cumulative duration and time-dependent cumulative dose of </w:t>
      </w:r>
      <w:r w:rsidR="00511ECE">
        <w:rPr>
          <w:rFonts w:ascii="Times New Roman" w:hAnsi="Times New Roman" w:cs="Times New Roman"/>
          <w:sz w:val="24"/>
          <w:szCs w:val="24"/>
        </w:rPr>
        <w:t xml:space="preserve">the </w:t>
      </w:r>
      <w:r w:rsidR="00FA106E">
        <w:rPr>
          <w:rFonts w:ascii="Times New Roman" w:hAnsi="Times New Roman" w:cs="Times New Roman"/>
          <w:sz w:val="24"/>
          <w:szCs w:val="24"/>
        </w:rPr>
        <w:t>biosimilar</w:t>
      </w:r>
      <w:r w:rsidRPr="00EF3776">
        <w:rPr>
          <w:rFonts w:ascii="Times New Roman" w:hAnsi="Times New Roman" w:cs="Times New Roman"/>
          <w:sz w:val="24"/>
          <w:szCs w:val="24"/>
        </w:rPr>
        <w:t xml:space="preserve"> and</w:t>
      </w:r>
      <w:r w:rsidR="00511ECE">
        <w:rPr>
          <w:rFonts w:ascii="Times New Roman" w:hAnsi="Times New Roman" w:cs="Times New Roman"/>
          <w:sz w:val="24"/>
          <w:szCs w:val="24"/>
        </w:rPr>
        <w:t xml:space="preserve"> the legacy drug</w:t>
      </w:r>
      <w:r w:rsidRPr="00EF3776">
        <w:rPr>
          <w:rFonts w:ascii="Times New Roman" w:hAnsi="Times New Roman" w:cs="Times New Roman"/>
          <w:sz w:val="24"/>
          <w:szCs w:val="24"/>
        </w:rPr>
        <w:t xml:space="preserve">. Survival analysis (Cox regression model) will be conducted to evaluate the risk of any SAE during follow-up. Separate Cox regression analysis will be conducted to evaluate the risk serious infection (defined as those requiring a hospitalization, emergency visit, or intravenous antibiotics), malignancies, and congestive heart failure, during the observational period. All models (for effectiveness and safety analyses) will be adjusted for the baseline covariates: sex, age, </w:t>
      </w:r>
      <w:r w:rsidR="00FD329D">
        <w:rPr>
          <w:rFonts w:ascii="Times New Roman" w:hAnsi="Times New Roman" w:cs="Times New Roman"/>
          <w:sz w:val="24"/>
          <w:szCs w:val="24"/>
        </w:rPr>
        <w:t>race/</w:t>
      </w:r>
      <w:r w:rsidRPr="00EF3776">
        <w:rPr>
          <w:rFonts w:ascii="Times New Roman" w:hAnsi="Times New Roman" w:cs="Times New Roman"/>
          <w:sz w:val="24"/>
          <w:szCs w:val="24"/>
        </w:rPr>
        <w:t xml:space="preserve">ethnicity, education, smoking, comorbidities, disease duration, disease activity, </w:t>
      </w:r>
      <w:r w:rsidR="00680B16">
        <w:rPr>
          <w:rFonts w:ascii="Times New Roman" w:hAnsi="Times New Roman" w:cs="Times New Roman"/>
          <w:sz w:val="24"/>
          <w:szCs w:val="24"/>
        </w:rPr>
        <w:t xml:space="preserve">non-biologic or biologic </w:t>
      </w:r>
      <w:r w:rsidRPr="00EF3776">
        <w:rPr>
          <w:rFonts w:ascii="Times New Roman" w:hAnsi="Times New Roman" w:cs="Times New Roman"/>
          <w:sz w:val="24"/>
          <w:szCs w:val="24"/>
        </w:rPr>
        <w:t>DMARDs</w:t>
      </w:r>
      <w:r w:rsidR="002039A6">
        <w:rPr>
          <w:rFonts w:ascii="Times New Roman" w:hAnsi="Times New Roman" w:cs="Times New Roman"/>
          <w:sz w:val="24"/>
          <w:szCs w:val="24"/>
        </w:rPr>
        <w:t xml:space="preserve"> drug</w:t>
      </w:r>
      <w:r w:rsidRPr="00EF3776">
        <w:rPr>
          <w:rFonts w:ascii="Times New Roman" w:hAnsi="Times New Roman" w:cs="Times New Roman"/>
          <w:sz w:val="24"/>
          <w:szCs w:val="24"/>
        </w:rPr>
        <w:t>s, steroids, NSAIDs and COXIBs.</w:t>
      </w:r>
    </w:p>
    <w:p w:rsidR="006E6B3E" w:rsidRPr="007F2C40" w:rsidRDefault="005004EA" w:rsidP="002F4A00">
      <w:pPr>
        <w:spacing w:after="120" w:line="240" w:lineRule="auto"/>
        <w:jc w:val="both"/>
        <w:rPr>
          <w:rFonts w:ascii="Times New Roman" w:hAnsi="Times New Roman" w:cs="Times New Roman"/>
          <w:b/>
          <w:sz w:val="24"/>
          <w:szCs w:val="24"/>
        </w:rPr>
      </w:pPr>
      <w:r w:rsidRPr="005004EA">
        <w:rPr>
          <w:rFonts w:ascii="Times New Roman" w:hAnsi="Times New Roman" w:cs="Times New Roman"/>
          <w:b/>
          <w:sz w:val="24"/>
          <w:szCs w:val="24"/>
        </w:rPr>
        <w:t>D. CONFIDENTIALITY</w:t>
      </w:r>
    </w:p>
    <w:p w:rsidR="00B44A62" w:rsidRDefault="006E6B3E">
      <w:pPr>
        <w:jc w:val="both"/>
        <w:rPr>
          <w:rFonts w:ascii="Times New Roman" w:hAnsi="Times New Roman" w:cs="Times New Roman"/>
          <w:sz w:val="24"/>
          <w:szCs w:val="24"/>
        </w:rPr>
      </w:pPr>
      <w:r w:rsidRPr="007F2C40">
        <w:rPr>
          <w:rFonts w:ascii="Times New Roman" w:hAnsi="Times New Roman" w:cs="Times New Roman"/>
          <w:sz w:val="24"/>
          <w:szCs w:val="24"/>
        </w:rPr>
        <w:t xml:space="preserve">Any data collected from a participant is considered personal information and will be kept confidential in the limits of the Law. When scientific communications are published and disseminated on research conducted using the data, participants will not be identified or identifiable. </w:t>
      </w:r>
    </w:p>
    <w:p w:rsidR="00BD2D60" w:rsidRDefault="005004EA" w:rsidP="009B5BDC">
      <w:pPr>
        <w:jc w:val="both"/>
        <w:rPr>
          <w:rFonts w:ascii="Times New Roman" w:hAnsi="Times New Roman" w:cs="Times New Roman"/>
          <w:sz w:val="24"/>
          <w:szCs w:val="24"/>
        </w:rPr>
      </w:pPr>
      <w:r w:rsidRPr="005004EA">
        <w:rPr>
          <w:rFonts w:ascii="Times New Roman" w:hAnsi="Times New Roman" w:cs="Times New Roman"/>
          <w:sz w:val="24"/>
          <w:szCs w:val="24"/>
        </w:rPr>
        <w:t>Data will be stored</w:t>
      </w:r>
      <w:r w:rsidR="00920847">
        <w:rPr>
          <w:rFonts w:ascii="Times New Roman" w:hAnsi="Times New Roman" w:cs="Times New Roman"/>
          <w:sz w:val="24"/>
          <w:szCs w:val="24"/>
        </w:rPr>
        <w:t xml:space="preserve"> on secured servers</w:t>
      </w:r>
      <w:r w:rsidRPr="005004EA">
        <w:rPr>
          <w:rFonts w:ascii="Times New Roman" w:hAnsi="Times New Roman" w:cs="Times New Roman"/>
          <w:sz w:val="24"/>
          <w:szCs w:val="24"/>
        </w:rPr>
        <w:t xml:space="preserve"> </w:t>
      </w:r>
      <w:r w:rsidR="009A1434">
        <w:rPr>
          <w:rFonts w:ascii="Times New Roman" w:hAnsi="Times New Roman" w:cs="Times New Roman"/>
          <w:sz w:val="24"/>
          <w:szCs w:val="24"/>
        </w:rPr>
        <w:t>at the R</w:t>
      </w:r>
      <w:r w:rsidR="009A1434" w:rsidRPr="009A1434">
        <w:rPr>
          <w:rFonts w:ascii="Times New Roman" w:hAnsi="Times New Roman" w:cs="Times New Roman"/>
          <w:sz w:val="24"/>
          <w:szCs w:val="24"/>
        </w:rPr>
        <w:t xml:space="preserve">esearch </w:t>
      </w:r>
      <w:r w:rsidR="009A1434">
        <w:rPr>
          <w:rFonts w:ascii="Times New Roman" w:hAnsi="Times New Roman" w:cs="Times New Roman"/>
          <w:sz w:val="24"/>
          <w:szCs w:val="24"/>
        </w:rPr>
        <w:t>I</w:t>
      </w:r>
      <w:r w:rsidR="009A1434" w:rsidRPr="009A1434">
        <w:rPr>
          <w:rFonts w:ascii="Times New Roman" w:hAnsi="Times New Roman" w:cs="Times New Roman"/>
          <w:sz w:val="24"/>
          <w:szCs w:val="24"/>
        </w:rPr>
        <w:t xml:space="preserve">nstitute of the </w:t>
      </w:r>
      <w:r w:rsidR="009A1434">
        <w:rPr>
          <w:rFonts w:ascii="Times New Roman" w:hAnsi="Times New Roman" w:cs="Times New Roman"/>
          <w:sz w:val="24"/>
          <w:szCs w:val="24"/>
        </w:rPr>
        <w:t>McG</w:t>
      </w:r>
      <w:r w:rsidR="009A1434" w:rsidRPr="009A1434">
        <w:rPr>
          <w:rFonts w:ascii="Times New Roman" w:hAnsi="Times New Roman" w:cs="Times New Roman"/>
          <w:sz w:val="24"/>
          <w:szCs w:val="24"/>
        </w:rPr>
        <w:t xml:space="preserve">ill </w:t>
      </w:r>
      <w:r w:rsidR="009A1434">
        <w:rPr>
          <w:rFonts w:ascii="Times New Roman" w:hAnsi="Times New Roman" w:cs="Times New Roman"/>
          <w:sz w:val="24"/>
          <w:szCs w:val="24"/>
        </w:rPr>
        <w:t>U</w:t>
      </w:r>
      <w:r w:rsidR="009A1434" w:rsidRPr="009A1434">
        <w:rPr>
          <w:rFonts w:ascii="Times New Roman" w:hAnsi="Times New Roman" w:cs="Times New Roman"/>
          <w:sz w:val="24"/>
          <w:szCs w:val="24"/>
        </w:rPr>
        <w:t xml:space="preserve">niversity </w:t>
      </w:r>
      <w:r w:rsidR="009A1434">
        <w:rPr>
          <w:rFonts w:ascii="Times New Roman" w:hAnsi="Times New Roman" w:cs="Times New Roman"/>
          <w:sz w:val="24"/>
          <w:szCs w:val="24"/>
        </w:rPr>
        <w:t>H</w:t>
      </w:r>
      <w:r w:rsidR="009A1434" w:rsidRPr="009A1434">
        <w:rPr>
          <w:rFonts w:ascii="Times New Roman" w:hAnsi="Times New Roman" w:cs="Times New Roman"/>
          <w:sz w:val="24"/>
          <w:szCs w:val="24"/>
        </w:rPr>
        <w:t xml:space="preserve">ealth </w:t>
      </w:r>
      <w:r w:rsidR="009A1434">
        <w:rPr>
          <w:rFonts w:ascii="Times New Roman" w:hAnsi="Times New Roman" w:cs="Times New Roman"/>
          <w:sz w:val="24"/>
          <w:szCs w:val="24"/>
        </w:rPr>
        <w:t>C</w:t>
      </w:r>
      <w:r w:rsidR="009A1434" w:rsidRPr="009A1434">
        <w:rPr>
          <w:rFonts w:ascii="Times New Roman" w:hAnsi="Times New Roman" w:cs="Times New Roman"/>
          <w:sz w:val="24"/>
          <w:szCs w:val="24"/>
        </w:rPr>
        <w:t xml:space="preserve">entre </w:t>
      </w:r>
      <w:r w:rsidR="009A1434">
        <w:rPr>
          <w:rFonts w:ascii="Times New Roman" w:hAnsi="Times New Roman" w:cs="Times New Roman"/>
          <w:sz w:val="24"/>
          <w:szCs w:val="24"/>
        </w:rPr>
        <w:t xml:space="preserve">(RIMUHC).  </w:t>
      </w:r>
      <w:r w:rsidR="00920847">
        <w:rPr>
          <w:rFonts w:ascii="Times New Roman" w:hAnsi="Times New Roman" w:cs="Times New Roman"/>
          <w:sz w:val="24"/>
          <w:szCs w:val="24"/>
        </w:rPr>
        <w:t>A</w:t>
      </w:r>
      <w:r w:rsidR="003D1E62" w:rsidRPr="0031291D">
        <w:rPr>
          <w:rFonts w:ascii="Times New Roman" w:hAnsi="Times New Roman" w:cs="Times New Roman"/>
          <w:sz w:val="24"/>
          <w:szCs w:val="24"/>
        </w:rPr>
        <w:t xml:space="preserve">ll measures to respect the safety and confidentiality of data will be in place. Access to the servers will be limited to the study doctor, the principal investigator, and other members of the research team. </w:t>
      </w:r>
      <w:r w:rsidR="003D1E62" w:rsidRPr="002B3DB6">
        <w:rPr>
          <w:rFonts w:ascii="Times New Roman" w:hAnsi="Times New Roman" w:cs="Times New Roman"/>
          <w:color w:val="000000"/>
          <w:sz w:val="24"/>
          <w:szCs w:val="24"/>
        </w:rPr>
        <w:t>Data for the study will be entered directly by the site</w:t>
      </w:r>
      <w:r w:rsidR="003D1E62" w:rsidRPr="003D1E62">
        <w:rPr>
          <w:rFonts w:ascii="Times New Roman" w:hAnsi="Times New Roman" w:cs="Times New Roman"/>
          <w:sz w:val="24"/>
          <w:szCs w:val="24"/>
        </w:rPr>
        <w:t xml:space="preserve"> </w:t>
      </w:r>
      <w:r w:rsidR="003D1E62">
        <w:rPr>
          <w:rFonts w:ascii="Times New Roman" w:hAnsi="Times New Roman" w:cs="Times New Roman"/>
          <w:sz w:val="24"/>
          <w:szCs w:val="24"/>
        </w:rPr>
        <w:t>using</w:t>
      </w:r>
      <w:r w:rsidRPr="005004EA">
        <w:rPr>
          <w:rFonts w:ascii="Times New Roman" w:hAnsi="Times New Roman" w:cs="Times New Roman"/>
          <w:sz w:val="24"/>
          <w:szCs w:val="24"/>
        </w:rPr>
        <w:t xml:space="preserve"> </w:t>
      </w:r>
      <w:proofErr w:type="spellStart"/>
      <w:r w:rsidRPr="005004EA">
        <w:rPr>
          <w:rFonts w:ascii="Times New Roman" w:hAnsi="Times New Roman" w:cs="Times New Roman"/>
          <w:color w:val="000000"/>
          <w:sz w:val="24"/>
          <w:szCs w:val="24"/>
        </w:rPr>
        <w:t>REDCap</w:t>
      </w:r>
      <w:proofErr w:type="spellEnd"/>
      <w:r w:rsidRPr="005004EA">
        <w:rPr>
          <w:rFonts w:ascii="Times New Roman" w:hAnsi="Times New Roman" w:cs="Times New Roman"/>
          <w:color w:val="000000"/>
          <w:sz w:val="24"/>
          <w:szCs w:val="24"/>
        </w:rPr>
        <w:t xml:space="preserve">, a secure web application for building and managing databases. Sites unable to enter data into </w:t>
      </w:r>
      <w:proofErr w:type="spellStart"/>
      <w:r w:rsidRPr="005004EA">
        <w:rPr>
          <w:rFonts w:ascii="Times New Roman" w:hAnsi="Times New Roman" w:cs="Times New Roman"/>
          <w:color w:val="000000"/>
          <w:sz w:val="24"/>
          <w:szCs w:val="24"/>
        </w:rPr>
        <w:t>REDCap</w:t>
      </w:r>
      <w:proofErr w:type="spellEnd"/>
      <w:r w:rsidRPr="005004EA">
        <w:rPr>
          <w:rFonts w:ascii="Times New Roman" w:hAnsi="Times New Roman" w:cs="Times New Roman"/>
          <w:color w:val="000000"/>
          <w:sz w:val="24"/>
          <w:szCs w:val="24"/>
        </w:rPr>
        <w:t xml:space="preserve"> directly or sites transmitting retrospective </w:t>
      </w:r>
      <w:r w:rsidRPr="005004EA">
        <w:rPr>
          <w:rFonts w:ascii="Times New Roman" w:hAnsi="Times New Roman" w:cs="Times New Roman"/>
          <w:sz w:val="24"/>
          <w:szCs w:val="24"/>
        </w:rPr>
        <w:t>and/or prospective data</w:t>
      </w:r>
      <w:r w:rsidR="007A3E2A">
        <w:rPr>
          <w:rFonts w:ascii="Times New Roman" w:hAnsi="Times New Roman" w:cs="Times New Roman"/>
          <w:color w:val="000000"/>
          <w:sz w:val="24"/>
          <w:szCs w:val="24"/>
        </w:rPr>
        <w:t xml:space="preserve"> </w:t>
      </w:r>
      <w:r w:rsidRPr="005004EA">
        <w:rPr>
          <w:rFonts w:ascii="Times New Roman" w:hAnsi="Times New Roman" w:cs="Times New Roman"/>
          <w:color w:val="000000"/>
          <w:sz w:val="24"/>
          <w:szCs w:val="24"/>
        </w:rPr>
        <w:t xml:space="preserve">will send the anonymized, </w:t>
      </w:r>
      <w:proofErr w:type="spellStart"/>
      <w:r w:rsidRPr="005004EA">
        <w:rPr>
          <w:rFonts w:ascii="Times New Roman" w:hAnsi="Times New Roman" w:cs="Times New Roman"/>
          <w:color w:val="000000"/>
          <w:sz w:val="24"/>
          <w:szCs w:val="24"/>
        </w:rPr>
        <w:t>denominalized</w:t>
      </w:r>
      <w:proofErr w:type="spellEnd"/>
      <w:r w:rsidRPr="005004EA">
        <w:rPr>
          <w:rFonts w:ascii="Times New Roman" w:hAnsi="Times New Roman" w:cs="Times New Roman"/>
          <w:color w:val="000000"/>
          <w:sz w:val="24"/>
          <w:szCs w:val="24"/>
        </w:rPr>
        <w:t xml:space="preserve"> data to the lead site </w:t>
      </w:r>
      <w:r w:rsidR="00F270BA">
        <w:rPr>
          <w:rFonts w:ascii="Times New Roman" w:hAnsi="Times New Roman" w:cs="Times New Roman"/>
          <w:color w:val="000000"/>
          <w:sz w:val="24"/>
          <w:szCs w:val="24"/>
        </w:rPr>
        <w:t xml:space="preserve">for analysis </w:t>
      </w:r>
      <w:r w:rsidRPr="005004EA">
        <w:rPr>
          <w:rFonts w:ascii="Times New Roman" w:hAnsi="Times New Roman" w:cs="Times New Roman"/>
          <w:color w:val="000000"/>
          <w:sz w:val="24"/>
          <w:szCs w:val="24"/>
        </w:rPr>
        <w:t xml:space="preserve">as per data transfer agreements. </w:t>
      </w:r>
    </w:p>
    <w:p w:rsidR="00B44A62" w:rsidRDefault="007F2C4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E. </w:t>
      </w:r>
      <w:r w:rsidR="005004EA" w:rsidRPr="005004EA">
        <w:rPr>
          <w:rFonts w:ascii="Times New Roman" w:hAnsi="Times New Roman" w:cs="Times New Roman"/>
          <w:b/>
          <w:sz w:val="24"/>
          <w:szCs w:val="24"/>
        </w:rPr>
        <w:t>SAMPLE SIZE AND POWER ESTIMATION</w:t>
      </w:r>
    </w:p>
    <w:p w:rsidR="0021127C" w:rsidRPr="00EF3776" w:rsidRDefault="0021127C"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lastRenderedPageBreak/>
        <w:t xml:space="preserve">The focus of our analysis is to demonstrate clinical and safety equivalence between the biosimilar and the </w:t>
      </w:r>
      <w:r w:rsidR="00B4352E">
        <w:rPr>
          <w:rFonts w:ascii="Times New Roman" w:hAnsi="Times New Roman" w:cs="Times New Roman"/>
          <w:sz w:val="24"/>
          <w:szCs w:val="24"/>
        </w:rPr>
        <w:t>legacy drug</w:t>
      </w:r>
      <w:r w:rsidRPr="00EF3776">
        <w:rPr>
          <w:rFonts w:ascii="Times New Roman" w:hAnsi="Times New Roman" w:cs="Times New Roman"/>
          <w:sz w:val="24"/>
          <w:szCs w:val="24"/>
        </w:rPr>
        <w:t xml:space="preserve">. An equivalence design in which results observed with a biosimilar product are within a pre-established range in relation to those obtained with the </w:t>
      </w:r>
      <w:r w:rsidR="00B4352E">
        <w:rPr>
          <w:rFonts w:ascii="Times New Roman" w:hAnsi="Times New Roman" w:cs="Times New Roman"/>
          <w:sz w:val="24"/>
          <w:szCs w:val="24"/>
        </w:rPr>
        <w:t>legacy drug</w:t>
      </w:r>
      <w:r w:rsidRPr="00EF3776">
        <w:rPr>
          <w:rFonts w:ascii="Times New Roman" w:hAnsi="Times New Roman" w:cs="Times New Roman"/>
          <w:sz w:val="24"/>
          <w:szCs w:val="24"/>
        </w:rPr>
        <w:t xml:space="preserve"> (Figure </w:t>
      </w:r>
      <w:r w:rsidR="00334786" w:rsidRPr="00EF3776">
        <w:rPr>
          <w:rFonts w:ascii="Times New Roman" w:hAnsi="Times New Roman" w:cs="Times New Roman"/>
          <w:sz w:val="24"/>
          <w:szCs w:val="24"/>
        </w:rPr>
        <w:t>2</w:t>
      </w:r>
      <w:r w:rsidRPr="00EF3776">
        <w:rPr>
          <w:rFonts w:ascii="Times New Roman" w:hAnsi="Times New Roman" w:cs="Times New Roman"/>
          <w:sz w:val="24"/>
          <w:szCs w:val="24"/>
        </w:rPr>
        <w:t>) is recommended by both FDA</w:t>
      </w:r>
      <w:r w:rsidRPr="00EF3776">
        <w:rPr>
          <w:rStyle w:val="FootnoteReference"/>
          <w:rFonts w:ascii="Times New Roman" w:hAnsi="Times New Roman" w:cs="Times New Roman"/>
          <w:sz w:val="24"/>
          <w:szCs w:val="24"/>
        </w:rPr>
        <w:footnoteReference w:id="2"/>
      </w:r>
      <w:r w:rsidRPr="00EF3776">
        <w:rPr>
          <w:rFonts w:ascii="Times New Roman" w:hAnsi="Times New Roman" w:cs="Times New Roman"/>
          <w:sz w:val="24"/>
          <w:szCs w:val="24"/>
        </w:rPr>
        <w:t xml:space="preserve"> and the EMA</w:t>
      </w:r>
      <w:r w:rsidRPr="00EF3776">
        <w:rPr>
          <w:rStyle w:val="FootnoteReference"/>
          <w:rFonts w:ascii="Times New Roman" w:hAnsi="Times New Roman" w:cs="Times New Roman"/>
          <w:sz w:val="24"/>
          <w:szCs w:val="24"/>
        </w:rPr>
        <w:footnoteReference w:id="3"/>
      </w:r>
      <w:r w:rsidRPr="00EF3776">
        <w:rPr>
          <w:rFonts w:ascii="Times New Roman" w:hAnsi="Times New Roman" w:cs="Times New Roman"/>
          <w:sz w:val="24"/>
          <w:szCs w:val="24"/>
        </w:rPr>
        <w:t xml:space="preserve"> to establish similarity in clinical effects for the biosimilar product versus the </w:t>
      </w:r>
      <w:r w:rsidR="00B4352E">
        <w:rPr>
          <w:rFonts w:ascii="Times New Roman" w:hAnsi="Times New Roman" w:cs="Times New Roman"/>
          <w:sz w:val="24"/>
          <w:szCs w:val="24"/>
        </w:rPr>
        <w:t>legacy drug</w:t>
      </w:r>
      <w:r w:rsidRPr="00EF3776">
        <w:rPr>
          <w:rFonts w:ascii="Times New Roman" w:hAnsi="Times New Roman" w:cs="Times New Roman"/>
          <w:sz w:val="24"/>
          <w:szCs w:val="24"/>
        </w:rPr>
        <w:t>. Likewise, Health Canada indicated that an equivalence trial design is preferred</w:t>
      </w:r>
      <w:r w:rsidRPr="00EF3776">
        <w:rPr>
          <w:rStyle w:val="FootnoteReference"/>
          <w:rFonts w:ascii="Times New Roman" w:hAnsi="Times New Roman" w:cs="Times New Roman"/>
          <w:sz w:val="24"/>
          <w:szCs w:val="24"/>
        </w:rPr>
        <w:footnoteReference w:id="4"/>
      </w:r>
      <w:r w:rsidRPr="00EF3776">
        <w:rPr>
          <w:rFonts w:ascii="Times New Roman" w:hAnsi="Times New Roman" w:cs="Times New Roman"/>
          <w:sz w:val="24"/>
          <w:szCs w:val="24"/>
        </w:rPr>
        <w:t>. Equivalence is demonstrated when the entire confidence interval (CI) of a given parameter falls within the lower and upper equivalence margins set before the study (Figure</w:t>
      </w:r>
      <w:r w:rsidR="00F17118">
        <w:rPr>
          <w:rFonts w:ascii="Times New Roman" w:hAnsi="Times New Roman" w:cs="Times New Roman"/>
          <w:sz w:val="24"/>
          <w:szCs w:val="24"/>
        </w:rPr>
        <w:t xml:space="preserve"> </w:t>
      </w:r>
      <w:r w:rsidRPr="00EF3776">
        <w:rPr>
          <w:rFonts w:ascii="Times New Roman" w:hAnsi="Times New Roman" w:cs="Times New Roman"/>
          <w:sz w:val="24"/>
          <w:szCs w:val="24"/>
        </w:rPr>
        <w:t xml:space="preserve">1, from Isakov </w:t>
      </w:r>
      <w:r w:rsidRPr="00EF3776">
        <w:rPr>
          <w:rFonts w:ascii="Times New Roman" w:hAnsi="Times New Roman" w:cs="Times New Roman"/>
          <w:i/>
          <w:sz w:val="24"/>
          <w:szCs w:val="24"/>
        </w:rPr>
        <w:t>et al,</w:t>
      </w:r>
      <w:r w:rsidRPr="00EF3776">
        <w:rPr>
          <w:rFonts w:ascii="Times New Roman" w:hAnsi="Times New Roman" w:cs="Times New Roman"/>
          <w:sz w:val="24"/>
          <w:szCs w:val="24"/>
        </w:rPr>
        <w:t xml:space="preserve"> 2016</w:t>
      </w:r>
      <w:r w:rsidRPr="00EF3776">
        <w:rPr>
          <w:rStyle w:val="FootnoteReference"/>
          <w:rFonts w:ascii="Times New Roman" w:hAnsi="Times New Roman" w:cs="Times New Roman"/>
          <w:sz w:val="24"/>
          <w:szCs w:val="24"/>
        </w:rPr>
        <w:footnoteReference w:id="5"/>
      </w:r>
      <w:r w:rsidRPr="00EF3776">
        <w:rPr>
          <w:rFonts w:ascii="Times New Roman" w:hAnsi="Times New Roman" w:cs="Times New Roman"/>
          <w:sz w:val="24"/>
          <w:szCs w:val="24"/>
        </w:rPr>
        <w:t>).</w:t>
      </w:r>
    </w:p>
    <w:p w:rsidR="0021127C" w:rsidRPr="00EF3776" w:rsidRDefault="0021127C" w:rsidP="002F4A00">
      <w:pPr>
        <w:spacing w:after="120" w:line="240" w:lineRule="auto"/>
        <w:jc w:val="center"/>
        <w:rPr>
          <w:rFonts w:ascii="Times New Roman" w:hAnsi="Times New Roman" w:cs="Times New Roman"/>
          <w:color w:val="FF0000"/>
          <w:sz w:val="24"/>
          <w:szCs w:val="24"/>
        </w:rPr>
      </w:pPr>
      <w:r w:rsidRPr="00EF3776">
        <w:rPr>
          <w:rFonts w:ascii="Times New Roman" w:hAnsi="Times New Roman" w:cs="Times New Roman"/>
          <w:noProof/>
          <w:color w:val="FF0000"/>
          <w:sz w:val="24"/>
          <w:szCs w:val="24"/>
          <w:lang w:val="en-US"/>
        </w:rPr>
        <w:drawing>
          <wp:inline distT="0" distB="0" distL="0" distR="0" wp14:anchorId="77B937A6" wp14:editId="1798CE19">
            <wp:extent cx="2981739" cy="2034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2252" cy="2041703"/>
                    </a:xfrm>
                    <a:prstGeom prst="rect">
                      <a:avLst/>
                    </a:prstGeom>
                    <a:noFill/>
                    <a:ln>
                      <a:noFill/>
                    </a:ln>
                  </pic:spPr>
                </pic:pic>
              </a:graphicData>
            </a:graphic>
          </wp:inline>
        </w:drawing>
      </w:r>
    </w:p>
    <w:p w:rsidR="0021127C" w:rsidRPr="00EF3776" w:rsidRDefault="0021127C"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b/>
          <w:sz w:val="24"/>
          <w:szCs w:val="24"/>
        </w:rPr>
        <w:t>Figure 1</w:t>
      </w:r>
      <w:r w:rsidRPr="00EF3776">
        <w:rPr>
          <w:rFonts w:ascii="Times New Roman" w:hAnsi="Times New Roman" w:cs="Times New Roman"/>
          <w:sz w:val="24"/>
          <w:szCs w:val="24"/>
        </w:rPr>
        <w:t xml:space="preserve"> - Testing for equivalence of the potential biosimilar to the originator biologic (Isakov </w:t>
      </w:r>
      <w:r w:rsidRPr="00EF3776">
        <w:rPr>
          <w:rFonts w:ascii="Times New Roman" w:hAnsi="Times New Roman" w:cs="Times New Roman"/>
          <w:i/>
          <w:sz w:val="24"/>
          <w:szCs w:val="24"/>
        </w:rPr>
        <w:t>et al</w:t>
      </w:r>
      <w:r w:rsidRPr="00EF3776">
        <w:rPr>
          <w:rFonts w:ascii="Times New Roman" w:hAnsi="Times New Roman" w:cs="Times New Roman"/>
          <w:sz w:val="24"/>
          <w:szCs w:val="24"/>
        </w:rPr>
        <w:t>, 2016).</w:t>
      </w:r>
    </w:p>
    <w:p w:rsidR="00F84C78" w:rsidRPr="00DA2CAB" w:rsidRDefault="0010690A" w:rsidP="002F4A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1127C" w:rsidRPr="00EF3776">
        <w:rPr>
          <w:rFonts w:ascii="Times New Roman" w:hAnsi="Times New Roman" w:cs="Times New Roman"/>
          <w:sz w:val="24"/>
          <w:szCs w:val="24"/>
        </w:rPr>
        <w:t xml:space="preserve">sample size </w:t>
      </w:r>
      <w:r>
        <w:rPr>
          <w:rFonts w:ascii="Times New Roman" w:hAnsi="Times New Roman" w:cs="Times New Roman"/>
          <w:sz w:val="24"/>
          <w:szCs w:val="24"/>
        </w:rPr>
        <w:t xml:space="preserve">was calculated </w:t>
      </w:r>
      <w:r w:rsidR="005D7D08">
        <w:rPr>
          <w:rFonts w:ascii="Times New Roman" w:hAnsi="Times New Roman" w:cs="Times New Roman"/>
          <w:sz w:val="24"/>
          <w:szCs w:val="24"/>
        </w:rPr>
        <w:t xml:space="preserve">for our </w:t>
      </w:r>
      <w:r w:rsidR="0047797A">
        <w:rPr>
          <w:rFonts w:ascii="Times New Roman" w:hAnsi="Times New Roman" w:cs="Times New Roman"/>
          <w:sz w:val="24"/>
          <w:szCs w:val="24"/>
        </w:rPr>
        <w:t>primary effectiveness outcome (persistence on treatment)</w:t>
      </w:r>
      <w:r w:rsidR="00624EF3">
        <w:rPr>
          <w:rFonts w:ascii="Times New Roman" w:hAnsi="Times New Roman" w:cs="Times New Roman"/>
          <w:sz w:val="24"/>
          <w:szCs w:val="24"/>
        </w:rPr>
        <w:t>.</w:t>
      </w:r>
      <w:r w:rsidR="0021127C" w:rsidRPr="00EF3776">
        <w:rPr>
          <w:rFonts w:ascii="Times New Roman" w:hAnsi="Times New Roman" w:cs="Times New Roman"/>
          <w:sz w:val="24"/>
          <w:szCs w:val="24"/>
        </w:rPr>
        <w:t xml:space="preserve"> </w:t>
      </w:r>
      <w:r>
        <w:rPr>
          <w:rFonts w:ascii="Times New Roman" w:hAnsi="Times New Roman" w:cs="Times New Roman"/>
          <w:sz w:val="24"/>
          <w:szCs w:val="24"/>
        </w:rPr>
        <w:t>For that, we assumed</w:t>
      </w:r>
      <w:r w:rsidR="00C82168">
        <w:rPr>
          <w:rFonts w:ascii="Times New Roman" w:hAnsi="Times New Roman" w:cs="Times New Roman"/>
          <w:sz w:val="24"/>
          <w:szCs w:val="24"/>
        </w:rPr>
        <w:t xml:space="preserve"> that the frequency of the outcome at the end of follow-up will be 70%</w:t>
      </w:r>
      <w:r>
        <w:rPr>
          <w:rFonts w:ascii="Times New Roman" w:hAnsi="Times New Roman" w:cs="Times New Roman"/>
          <w:sz w:val="24"/>
          <w:szCs w:val="24"/>
        </w:rPr>
        <w:t>. W</w:t>
      </w:r>
      <w:r w:rsidR="0047797A">
        <w:rPr>
          <w:rFonts w:ascii="Times New Roman" w:hAnsi="Times New Roman" w:cs="Times New Roman"/>
          <w:sz w:val="24"/>
          <w:szCs w:val="24"/>
        </w:rPr>
        <w:t>e calculated that</w:t>
      </w:r>
      <w:r w:rsidR="00FD329D">
        <w:rPr>
          <w:rFonts w:ascii="Times New Roman" w:hAnsi="Times New Roman" w:cs="Times New Roman"/>
          <w:sz w:val="24"/>
          <w:szCs w:val="24"/>
        </w:rPr>
        <w:t xml:space="preserve"> for each condition (RA, AS, CD, UC)</w:t>
      </w:r>
      <w:r w:rsidR="0047797A">
        <w:rPr>
          <w:rFonts w:ascii="Times New Roman" w:hAnsi="Times New Roman" w:cs="Times New Roman"/>
          <w:sz w:val="24"/>
          <w:szCs w:val="24"/>
        </w:rPr>
        <w:t xml:space="preserve"> </w:t>
      </w:r>
      <w:r w:rsidR="00FD329D">
        <w:rPr>
          <w:rFonts w:ascii="Times New Roman" w:hAnsi="Times New Roman" w:cs="Times New Roman"/>
          <w:sz w:val="24"/>
          <w:szCs w:val="24"/>
        </w:rPr>
        <w:t>we require</w:t>
      </w:r>
      <w:r w:rsidR="0047797A">
        <w:rPr>
          <w:rFonts w:ascii="Times New Roman" w:hAnsi="Times New Roman" w:cs="Times New Roman"/>
          <w:sz w:val="24"/>
          <w:szCs w:val="24"/>
        </w:rPr>
        <w:t xml:space="preserve"> a sample size in each </w:t>
      </w:r>
      <w:r w:rsidR="00FD329D">
        <w:rPr>
          <w:rFonts w:ascii="Times New Roman" w:hAnsi="Times New Roman" w:cs="Times New Roman"/>
          <w:sz w:val="24"/>
          <w:szCs w:val="24"/>
        </w:rPr>
        <w:t xml:space="preserve">treatment </w:t>
      </w:r>
      <w:r w:rsidR="00454385">
        <w:rPr>
          <w:rFonts w:ascii="Times New Roman" w:hAnsi="Times New Roman" w:cs="Times New Roman"/>
          <w:sz w:val="24"/>
          <w:szCs w:val="24"/>
        </w:rPr>
        <w:t>g</w:t>
      </w:r>
      <w:r w:rsidR="0047797A">
        <w:rPr>
          <w:rFonts w:ascii="Times New Roman" w:hAnsi="Times New Roman" w:cs="Times New Roman"/>
          <w:sz w:val="24"/>
          <w:szCs w:val="24"/>
        </w:rPr>
        <w:t>roup</w:t>
      </w:r>
      <w:r w:rsidR="00FD329D" w:rsidRPr="00FD329D">
        <w:rPr>
          <w:rFonts w:ascii="Times New Roman" w:hAnsi="Times New Roman" w:cs="Times New Roman"/>
          <w:sz w:val="24"/>
          <w:szCs w:val="24"/>
        </w:rPr>
        <w:t xml:space="preserve"> </w:t>
      </w:r>
      <w:r w:rsidR="00FD329D">
        <w:rPr>
          <w:rFonts w:ascii="Times New Roman" w:hAnsi="Times New Roman" w:cs="Times New Roman"/>
          <w:sz w:val="24"/>
          <w:szCs w:val="24"/>
        </w:rPr>
        <w:t>of 100 patients</w:t>
      </w:r>
      <w:r w:rsidR="00C777F2">
        <w:rPr>
          <w:rFonts w:ascii="Times New Roman" w:hAnsi="Times New Roman" w:cs="Times New Roman"/>
          <w:sz w:val="24"/>
          <w:szCs w:val="24"/>
        </w:rPr>
        <w:t xml:space="preserve"> for an approximate total of 800 patients</w:t>
      </w:r>
      <w:r w:rsidR="00FD329D">
        <w:rPr>
          <w:rFonts w:ascii="Times New Roman" w:hAnsi="Times New Roman" w:cs="Times New Roman"/>
          <w:sz w:val="24"/>
          <w:szCs w:val="24"/>
        </w:rPr>
        <w:t xml:space="preserve">, </w:t>
      </w:r>
      <w:r>
        <w:rPr>
          <w:rFonts w:ascii="Times New Roman" w:hAnsi="Times New Roman" w:cs="Times New Roman"/>
          <w:sz w:val="24"/>
          <w:szCs w:val="24"/>
        </w:rPr>
        <w:t xml:space="preserve">to demonstrate </w:t>
      </w:r>
      <w:r w:rsidR="0047797A">
        <w:rPr>
          <w:rFonts w:ascii="Times New Roman" w:hAnsi="Times New Roman" w:cs="Times New Roman"/>
          <w:sz w:val="24"/>
          <w:szCs w:val="24"/>
        </w:rPr>
        <w:t>equivale</w:t>
      </w:r>
      <w:r>
        <w:rPr>
          <w:rFonts w:ascii="Times New Roman" w:hAnsi="Times New Roman" w:cs="Times New Roman"/>
          <w:sz w:val="24"/>
          <w:szCs w:val="24"/>
        </w:rPr>
        <w:t>nc</w:t>
      </w:r>
      <w:r w:rsidR="00FD329D">
        <w:rPr>
          <w:rFonts w:ascii="Times New Roman" w:hAnsi="Times New Roman" w:cs="Times New Roman"/>
          <w:sz w:val="24"/>
          <w:szCs w:val="24"/>
        </w:rPr>
        <w:t xml:space="preserve">e between </w:t>
      </w:r>
      <w:r w:rsidR="00FA106E">
        <w:rPr>
          <w:rFonts w:ascii="Times New Roman" w:hAnsi="Times New Roman" w:cs="Times New Roman"/>
          <w:sz w:val="24"/>
          <w:szCs w:val="24"/>
        </w:rPr>
        <w:t xml:space="preserve">the biosimilar </w:t>
      </w:r>
      <w:r w:rsidR="00FD329D">
        <w:rPr>
          <w:rFonts w:ascii="Times New Roman" w:hAnsi="Times New Roman" w:cs="Times New Roman"/>
          <w:sz w:val="24"/>
          <w:szCs w:val="24"/>
        </w:rPr>
        <w:t xml:space="preserve">and </w:t>
      </w:r>
      <w:r w:rsidR="00B4352E">
        <w:rPr>
          <w:rFonts w:ascii="Times New Roman" w:hAnsi="Times New Roman" w:cs="Times New Roman"/>
          <w:sz w:val="24"/>
          <w:szCs w:val="24"/>
        </w:rPr>
        <w:t>the legacy drug</w:t>
      </w:r>
      <w:r w:rsidR="00FD329D">
        <w:rPr>
          <w:rFonts w:ascii="Times New Roman" w:hAnsi="Times New Roman" w:cs="Times New Roman"/>
          <w:sz w:val="24"/>
          <w:szCs w:val="24"/>
        </w:rPr>
        <w:t xml:space="preserve">. This estimate is based on </w:t>
      </w:r>
      <w:r w:rsidR="0047797A">
        <w:rPr>
          <w:rFonts w:ascii="Times New Roman" w:hAnsi="Times New Roman" w:cs="Times New Roman"/>
          <w:sz w:val="24"/>
          <w:szCs w:val="24"/>
        </w:rPr>
        <w:t xml:space="preserve">an upper equivalence </w:t>
      </w:r>
      <w:r w:rsidR="0047797A" w:rsidRPr="00DA2CAB">
        <w:rPr>
          <w:rFonts w:ascii="Times New Roman" w:hAnsi="Times New Roman" w:cs="Times New Roman"/>
          <w:sz w:val="24"/>
          <w:szCs w:val="24"/>
        </w:rPr>
        <w:t xml:space="preserve">margin of 1.34 and </w:t>
      </w:r>
      <w:r w:rsidR="00FD329D" w:rsidRPr="00DA2CAB">
        <w:rPr>
          <w:rFonts w:ascii="Times New Roman" w:hAnsi="Times New Roman" w:cs="Times New Roman"/>
          <w:sz w:val="24"/>
          <w:szCs w:val="24"/>
        </w:rPr>
        <w:t xml:space="preserve">a </w:t>
      </w:r>
      <w:r w:rsidR="0047797A" w:rsidRPr="00DA2CAB">
        <w:rPr>
          <w:rFonts w:ascii="Times New Roman" w:hAnsi="Times New Roman" w:cs="Times New Roman"/>
          <w:sz w:val="24"/>
          <w:szCs w:val="24"/>
        </w:rPr>
        <w:t xml:space="preserve">symmetrical lower margin of 0.75, </w:t>
      </w:r>
      <w:r w:rsidRPr="00DA2CAB">
        <w:rPr>
          <w:rFonts w:ascii="Times New Roman" w:hAnsi="Times New Roman" w:cs="Times New Roman"/>
          <w:sz w:val="24"/>
          <w:szCs w:val="24"/>
        </w:rPr>
        <w:t xml:space="preserve">with </w:t>
      </w:r>
      <w:r w:rsidR="0047797A" w:rsidRPr="00DA2CAB">
        <w:rPr>
          <w:rFonts w:ascii="Times New Roman" w:hAnsi="Times New Roman" w:cs="Times New Roman"/>
          <w:sz w:val="24"/>
          <w:szCs w:val="24"/>
        </w:rPr>
        <w:t xml:space="preserve">a 5% </w:t>
      </w:r>
      <w:r w:rsidR="0021127C" w:rsidRPr="00DA2CAB">
        <w:rPr>
          <w:rFonts w:ascii="Times New Roman" w:hAnsi="Times New Roman" w:cs="Times New Roman"/>
          <w:sz w:val="24"/>
          <w:szCs w:val="24"/>
        </w:rPr>
        <w:t xml:space="preserve">type I error rate and power </w:t>
      </w:r>
      <w:r w:rsidR="0047797A" w:rsidRPr="00DA2CAB">
        <w:rPr>
          <w:rFonts w:ascii="Times New Roman" w:hAnsi="Times New Roman" w:cs="Times New Roman"/>
          <w:sz w:val="24"/>
          <w:szCs w:val="24"/>
        </w:rPr>
        <w:t xml:space="preserve">of </w:t>
      </w:r>
      <w:r w:rsidR="0021127C" w:rsidRPr="00DA2CAB">
        <w:rPr>
          <w:rFonts w:ascii="Times New Roman" w:hAnsi="Times New Roman" w:cs="Times New Roman"/>
          <w:sz w:val="24"/>
          <w:szCs w:val="24"/>
        </w:rPr>
        <w:t>80%.</w:t>
      </w:r>
      <w:r w:rsidR="0047797A" w:rsidRPr="00DA2CAB">
        <w:rPr>
          <w:rFonts w:ascii="Times New Roman" w:hAnsi="Times New Roman" w:cs="Times New Roman"/>
          <w:sz w:val="24"/>
          <w:szCs w:val="24"/>
        </w:rPr>
        <w:t xml:space="preserve"> </w:t>
      </w:r>
    </w:p>
    <w:p w:rsidR="00A65621" w:rsidRDefault="00A65621" w:rsidP="002F4A00">
      <w:pPr>
        <w:spacing w:after="120" w:line="240" w:lineRule="auto"/>
        <w:jc w:val="both"/>
        <w:rPr>
          <w:rFonts w:ascii="Times New Roman" w:hAnsi="Times New Roman" w:cs="Times New Roman"/>
          <w:b/>
          <w:sz w:val="24"/>
          <w:szCs w:val="24"/>
          <w:lang w:val="en-GB"/>
        </w:rPr>
      </w:pPr>
    </w:p>
    <w:p w:rsidR="00A65621" w:rsidRPr="00DA2CAB" w:rsidRDefault="00A351CA" w:rsidP="002F4A00">
      <w:pPr>
        <w:spacing w:after="120" w:line="240" w:lineRule="auto"/>
        <w:jc w:val="both"/>
        <w:rPr>
          <w:rFonts w:ascii="Times New Roman" w:hAnsi="Times New Roman" w:cs="Times New Roman"/>
          <w:b/>
          <w:sz w:val="24"/>
          <w:szCs w:val="24"/>
        </w:rPr>
      </w:pPr>
      <w:r w:rsidRPr="00DA2CAB">
        <w:rPr>
          <w:rFonts w:ascii="Times New Roman" w:hAnsi="Times New Roman" w:cs="Times New Roman"/>
          <w:b/>
          <w:sz w:val="24"/>
          <w:szCs w:val="24"/>
          <w:lang w:val="en-GB"/>
        </w:rPr>
        <w:t xml:space="preserve">F. </w:t>
      </w:r>
      <w:r w:rsidR="00454385" w:rsidRPr="00DA2CAB">
        <w:rPr>
          <w:rFonts w:ascii="Times New Roman" w:hAnsi="Times New Roman" w:cs="Times New Roman"/>
          <w:b/>
          <w:sz w:val="24"/>
          <w:szCs w:val="24"/>
          <w:lang w:val="en-GB"/>
        </w:rPr>
        <w:t>ADVISORY COMMITTEE</w:t>
      </w:r>
    </w:p>
    <w:p w:rsidR="00DB1A67" w:rsidRPr="006A456A" w:rsidRDefault="00DB1A67" w:rsidP="002F4A00">
      <w:pPr>
        <w:spacing w:after="120" w:line="240" w:lineRule="auto"/>
        <w:jc w:val="both"/>
        <w:rPr>
          <w:rFonts w:ascii="Times New Roman" w:hAnsi="Times New Roman" w:cs="Times New Roman"/>
          <w:sz w:val="24"/>
          <w:szCs w:val="24"/>
          <w:lang w:val="en-GB"/>
        </w:rPr>
      </w:pPr>
      <w:r w:rsidRPr="00EF3776">
        <w:rPr>
          <w:rFonts w:ascii="Times New Roman" w:hAnsi="Times New Roman" w:cs="Times New Roman"/>
          <w:sz w:val="24"/>
          <w:szCs w:val="24"/>
          <w:lang w:val="en-GB"/>
        </w:rPr>
        <w:t xml:space="preserve">An </w:t>
      </w:r>
      <w:r w:rsidR="00454385">
        <w:rPr>
          <w:rFonts w:ascii="Times New Roman" w:hAnsi="Times New Roman" w:cs="Times New Roman"/>
          <w:sz w:val="24"/>
          <w:szCs w:val="24"/>
          <w:lang w:val="en-GB"/>
        </w:rPr>
        <w:t>a</w:t>
      </w:r>
      <w:r w:rsidRPr="00EF3776">
        <w:rPr>
          <w:rFonts w:ascii="Times New Roman" w:hAnsi="Times New Roman" w:cs="Times New Roman"/>
          <w:sz w:val="24"/>
          <w:szCs w:val="24"/>
          <w:lang w:val="en-GB"/>
        </w:rPr>
        <w:t xml:space="preserve">dvisory </w:t>
      </w:r>
      <w:r w:rsidR="00454385">
        <w:rPr>
          <w:rFonts w:ascii="Times New Roman" w:hAnsi="Times New Roman" w:cs="Times New Roman"/>
          <w:sz w:val="24"/>
          <w:szCs w:val="24"/>
          <w:lang w:val="en-GB"/>
        </w:rPr>
        <w:t>c</w:t>
      </w:r>
      <w:r w:rsidRPr="006A456A">
        <w:rPr>
          <w:rFonts w:ascii="Times New Roman" w:hAnsi="Times New Roman" w:cs="Times New Roman"/>
          <w:sz w:val="24"/>
          <w:szCs w:val="24"/>
          <w:lang w:val="en-GB"/>
        </w:rPr>
        <w:t>ommittee will be established with a dual purpose of providing feedback to CAN</w:t>
      </w:r>
      <w:r w:rsidR="008F7D96">
        <w:rPr>
          <w:rFonts w:ascii="Times New Roman" w:hAnsi="Times New Roman" w:cs="Times New Roman"/>
          <w:sz w:val="24"/>
          <w:szCs w:val="24"/>
          <w:lang w:val="en-GB"/>
        </w:rPr>
        <w:t>-</w:t>
      </w:r>
      <w:r w:rsidRPr="006A456A">
        <w:rPr>
          <w:rFonts w:ascii="Times New Roman" w:hAnsi="Times New Roman" w:cs="Times New Roman"/>
          <w:sz w:val="24"/>
          <w:szCs w:val="24"/>
          <w:lang w:val="en-GB"/>
        </w:rPr>
        <w:t>AIM on the current work and developing plans for future biosimilar analyses (</w:t>
      </w:r>
      <w:r w:rsidR="00DA2CAB">
        <w:rPr>
          <w:rFonts w:ascii="Times New Roman" w:hAnsi="Times New Roman" w:cs="Times New Roman"/>
          <w:sz w:val="24"/>
          <w:szCs w:val="24"/>
          <w:lang w:val="en-GB"/>
        </w:rPr>
        <w:t>these future analyses would be performed</w:t>
      </w:r>
      <w:r w:rsidRPr="006A456A">
        <w:rPr>
          <w:rFonts w:ascii="Times New Roman" w:hAnsi="Times New Roman" w:cs="Times New Roman"/>
          <w:sz w:val="24"/>
          <w:szCs w:val="24"/>
          <w:lang w:val="en-GB"/>
        </w:rPr>
        <w:t xml:space="preserve"> under </w:t>
      </w:r>
      <w:r w:rsidR="00DA2CAB">
        <w:rPr>
          <w:rFonts w:ascii="Times New Roman" w:hAnsi="Times New Roman" w:cs="Times New Roman"/>
          <w:sz w:val="24"/>
          <w:szCs w:val="24"/>
          <w:lang w:val="en-GB"/>
        </w:rPr>
        <w:t>updated</w:t>
      </w:r>
      <w:r w:rsidRPr="006A456A">
        <w:rPr>
          <w:rFonts w:ascii="Times New Roman" w:hAnsi="Times New Roman" w:cs="Times New Roman"/>
          <w:sz w:val="24"/>
          <w:szCs w:val="24"/>
          <w:lang w:val="en-GB"/>
        </w:rPr>
        <w:t xml:space="preserve"> protocol</w:t>
      </w:r>
      <w:r w:rsidR="00DA2CAB">
        <w:rPr>
          <w:rFonts w:ascii="Times New Roman" w:hAnsi="Times New Roman" w:cs="Times New Roman"/>
          <w:sz w:val="24"/>
          <w:szCs w:val="24"/>
          <w:lang w:val="en-GB"/>
        </w:rPr>
        <w:t>s</w:t>
      </w:r>
      <w:r w:rsidRPr="006A456A">
        <w:rPr>
          <w:rFonts w:ascii="Times New Roman" w:hAnsi="Times New Roman" w:cs="Times New Roman"/>
          <w:sz w:val="24"/>
          <w:szCs w:val="24"/>
          <w:lang w:val="en-GB"/>
        </w:rPr>
        <w:t xml:space="preserve"> with separate funding and timelines). The committee will be mandated to facilitate horizontal management between DSEN partners</w:t>
      </w:r>
      <w:r w:rsidR="006A456A">
        <w:rPr>
          <w:rFonts w:ascii="Times New Roman" w:hAnsi="Times New Roman" w:cs="Times New Roman"/>
          <w:sz w:val="24"/>
          <w:szCs w:val="24"/>
          <w:lang w:val="en-GB"/>
        </w:rPr>
        <w:t xml:space="preserve"> (</w:t>
      </w:r>
      <w:r w:rsidRPr="006A456A">
        <w:rPr>
          <w:rFonts w:ascii="Times New Roman" w:hAnsi="Times New Roman" w:cs="Times New Roman"/>
          <w:sz w:val="24"/>
          <w:szCs w:val="24"/>
          <w:lang w:val="en-GB"/>
        </w:rPr>
        <w:t>CIHR</w:t>
      </w:r>
      <w:r w:rsidR="006A456A">
        <w:rPr>
          <w:rFonts w:ascii="Times New Roman" w:hAnsi="Times New Roman" w:cs="Times New Roman"/>
          <w:sz w:val="24"/>
          <w:szCs w:val="24"/>
          <w:lang w:val="en-GB"/>
        </w:rPr>
        <w:t xml:space="preserve"> </w:t>
      </w:r>
      <w:r w:rsidR="006A456A">
        <w:rPr>
          <w:rFonts w:ascii="Times New Roman" w:hAnsi="Times New Roman" w:cs="Times New Roman"/>
          <w:sz w:val="24"/>
          <w:szCs w:val="24"/>
          <w:lang w:val="en-GB"/>
        </w:rPr>
        <w:lastRenderedPageBreak/>
        <w:t xml:space="preserve">and </w:t>
      </w:r>
      <w:r w:rsidRPr="006A456A">
        <w:rPr>
          <w:rFonts w:ascii="Times New Roman" w:hAnsi="Times New Roman" w:cs="Times New Roman"/>
          <w:sz w:val="24"/>
          <w:szCs w:val="24"/>
          <w:lang w:val="en-GB"/>
        </w:rPr>
        <w:t>Health Canada</w:t>
      </w:r>
      <w:r w:rsidR="006A456A">
        <w:rPr>
          <w:rFonts w:ascii="Times New Roman" w:hAnsi="Times New Roman" w:cs="Times New Roman"/>
          <w:sz w:val="24"/>
          <w:szCs w:val="24"/>
          <w:lang w:val="en-GB"/>
        </w:rPr>
        <w:t>)</w:t>
      </w:r>
      <w:r w:rsidRPr="006A456A">
        <w:rPr>
          <w:rFonts w:ascii="Times New Roman" w:hAnsi="Times New Roman" w:cs="Times New Roman"/>
          <w:sz w:val="24"/>
          <w:szCs w:val="24"/>
          <w:lang w:val="en-GB"/>
        </w:rPr>
        <w:t xml:space="preserve">, </w:t>
      </w:r>
      <w:r w:rsidR="006A456A">
        <w:rPr>
          <w:rFonts w:ascii="Times New Roman" w:hAnsi="Times New Roman" w:cs="Times New Roman"/>
          <w:sz w:val="24"/>
          <w:szCs w:val="24"/>
          <w:lang w:val="en-GB"/>
        </w:rPr>
        <w:t xml:space="preserve">the </w:t>
      </w:r>
      <w:r w:rsidR="006A456A" w:rsidRPr="00EF3776">
        <w:rPr>
          <w:rFonts w:ascii="Times New Roman" w:hAnsi="Times New Roman" w:cs="Times New Roman"/>
          <w:sz w:val="24"/>
          <w:szCs w:val="24"/>
        </w:rPr>
        <w:t xml:space="preserve">Canadian Agency for Drugs and Technologies in Health </w:t>
      </w:r>
      <w:r w:rsidR="006A456A">
        <w:rPr>
          <w:rFonts w:ascii="Times New Roman" w:hAnsi="Times New Roman" w:cs="Times New Roman"/>
          <w:sz w:val="24"/>
          <w:szCs w:val="24"/>
        </w:rPr>
        <w:t>(</w:t>
      </w:r>
      <w:r w:rsidR="006A456A" w:rsidRPr="006A456A">
        <w:rPr>
          <w:rFonts w:ascii="Times New Roman" w:hAnsi="Times New Roman" w:cs="Times New Roman"/>
          <w:sz w:val="24"/>
          <w:szCs w:val="24"/>
          <w:lang w:val="en-GB"/>
        </w:rPr>
        <w:t>CADTH</w:t>
      </w:r>
      <w:r w:rsidR="006A456A">
        <w:rPr>
          <w:rFonts w:ascii="Times New Roman" w:hAnsi="Times New Roman" w:cs="Times New Roman"/>
          <w:sz w:val="24"/>
          <w:szCs w:val="24"/>
          <w:lang w:val="en-GB"/>
        </w:rPr>
        <w:t>),</w:t>
      </w:r>
      <w:r w:rsidR="006A456A" w:rsidRPr="006A456A">
        <w:rPr>
          <w:rFonts w:ascii="Times New Roman" w:hAnsi="Times New Roman" w:cs="Times New Roman"/>
          <w:sz w:val="24"/>
          <w:szCs w:val="24"/>
          <w:lang w:val="en-GB"/>
        </w:rPr>
        <w:t xml:space="preserve"> the </w:t>
      </w:r>
      <w:r w:rsidR="006A456A" w:rsidRPr="00491FF8">
        <w:rPr>
          <w:rFonts w:ascii="Times New Roman" w:hAnsi="Times New Roman" w:cs="Times New Roman"/>
          <w:color w:val="333333"/>
          <w:sz w:val="24"/>
          <w:szCs w:val="24"/>
          <w:shd w:val="clear" w:color="auto" w:fill="FFFFFF"/>
        </w:rPr>
        <w:t xml:space="preserve">Pan-Canadian Pharmaceutical Alliance, </w:t>
      </w:r>
      <w:r w:rsidRPr="006A456A">
        <w:rPr>
          <w:rFonts w:ascii="Times New Roman" w:hAnsi="Times New Roman" w:cs="Times New Roman"/>
          <w:sz w:val="24"/>
          <w:szCs w:val="24"/>
          <w:lang w:val="en-GB"/>
        </w:rPr>
        <w:t>and other groups, in terms of project direction and evaluation.</w:t>
      </w:r>
    </w:p>
    <w:p w:rsidR="00B12313" w:rsidRPr="00EF3776" w:rsidRDefault="00DB1A67" w:rsidP="002F4A00">
      <w:pPr>
        <w:spacing w:after="120" w:line="240" w:lineRule="auto"/>
        <w:jc w:val="both"/>
        <w:rPr>
          <w:rFonts w:ascii="Times New Roman" w:hAnsi="Times New Roman" w:cs="Times New Roman"/>
          <w:sz w:val="24"/>
          <w:szCs w:val="24"/>
        </w:rPr>
      </w:pPr>
      <w:r w:rsidRPr="006A456A">
        <w:rPr>
          <w:rFonts w:ascii="Times New Roman" w:hAnsi="Times New Roman" w:cs="Times New Roman"/>
          <w:sz w:val="24"/>
          <w:szCs w:val="24"/>
          <w:lang w:val="en-GB"/>
        </w:rPr>
        <w:t xml:space="preserve">The </w:t>
      </w:r>
      <w:r w:rsidR="00BC4A7E">
        <w:rPr>
          <w:rFonts w:ascii="Times New Roman" w:hAnsi="Times New Roman" w:cs="Times New Roman"/>
          <w:sz w:val="24"/>
          <w:szCs w:val="24"/>
          <w:lang w:val="en-GB"/>
        </w:rPr>
        <w:t>advisory c</w:t>
      </w:r>
      <w:r w:rsidRPr="006A456A">
        <w:rPr>
          <w:rFonts w:ascii="Times New Roman" w:hAnsi="Times New Roman" w:cs="Times New Roman"/>
          <w:sz w:val="24"/>
          <w:szCs w:val="24"/>
          <w:lang w:val="en-GB"/>
        </w:rPr>
        <w:t>ommittee will monitor the project in an ongoing fashion, contributing to the quarterly and final reports on the progress of</w:t>
      </w:r>
      <w:r w:rsidRPr="00EF3776">
        <w:rPr>
          <w:rFonts w:ascii="Times New Roman" w:hAnsi="Times New Roman" w:cs="Times New Roman"/>
          <w:sz w:val="24"/>
          <w:szCs w:val="24"/>
          <w:lang w:val="en-GB"/>
        </w:rPr>
        <w:t xml:space="preserve"> the project, and work with CAN-AIM on the final set of deliverables. The work of the committee will be conducted for the duration of project, and may be extended as needed. It is anticipated teleconferences will occur on a quarterly basis.</w:t>
      </w:r>
    </w:p>
    <w:p w:rsidR="00B12313" w:rsidRPr="00EF3776" w:rsidRDefault="00454385" w:rsidP="002F4A0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Pr="00EF3776">
        <w:rPr>
          <w:rFonts w:ascii="Times New Roman" w:hAnsi="Times New Roman" w:cs="Times New Roman"/>
          <w:b/>
          <w:sz w:val="24"/>
          <w:szCs w:val="24"/>
        </w:rPr>
        <w:t>KNOWLEDGE TRANSLATION (KT) PLAN</w:t>
      </w:r>
    </w:p>
    <w:p w:rsidR="00B12313" w:rsidRDefault="00B12313" w:rsidP="002F4A00">
      <w:pPr>
        <w:spacing w:after="120" w:line="240" w:lineRule="auto"/>
        <w:jc w:val="both"/>
        <w:rPr>
          <w:rFonts w:ascii="Times New Roman" w:hAnsi="Times New Roman" w:cs="Times New Roman"/>
          <w:sz w:val="24"/>
          <w:szCs w:val="24"/>
        </w:rPr>
      </w:pPr>
      <w:r w:rsidRPr="00EF3776">
        <w:rPr>
          <w:rFonts w:ascii="Times New Roman" w:hAnsi="Times New Roman" w:cs="Times New Roman"/>
          <w:sz w:val="24"/>
          <w:szCs w:val="24"/>
        </w:rPr>
        <w:t xml:space="preserve">The results of this project will be disseminated in part through traditional methods of dissemination, such as publication in peer reviewed and open access journals and abstracts </w:t>
      </w:r>
      <w:r w:rsidR="00493405" w:rsidRPr="00EF3776">
        <w:rPr>
          <w:rFonts w:ascii="Times New Roman" w:hAnsi="Times New Roman" w:cs="Times New Roman"/>
          <w:sz w:val="24"/>
          <w:szCs w:val="24"/>
        </w:rPr>
        <w:t xml:space="preserve">submitted </w:t>
      </w:r>
      <w:r w:rsidRPr="00EF3776">
        <w:rPr>
          <w:rFonts w:ascii="Times New Roman" w:hAnsi="Times New Roman" w:cs="Times New Roman"/>
          <w:sz w:val="24"/>
          <w:szCs w:val="24"/>
        </w:rPr>
        <w:t xml:space="preserve">to national and international meetings. </w:t>
      </w:r>
      <w:r w:rsidR="00DB1A67" w:rsidRPr="00EF3776">
        <w:rPr>
          <w:rFonts w:ascii="Times New Roman" w:hAnsi="Times New Roman" w:cs="Times New Roman"/>
          <w:sz w:val="24"/>
          <w:szCs w:val="24"/>
        </w:rPr>
        <w:t xml:space="preserve">The </w:t>
      </w:r>
      <w:r w:rsidR="00BC4A7E">
        <w:rPr>
          <w:rFonts w:ascii="Times New Roman" w:hAnsi="Times New Roman" w:cs="Times New Roman"/>
          <w:sz w:val="24"/>
          <w:szCs w:val="24"/>
        </w:rPr>
        <w:t>a</w:t>
      </w:r>
      <w:r w:rsidR="00DB1A67" w:rsidRPr="00EF3776">
        <w:rPr>
          <w:rFonts w:ascii="Times New Roman" w:hAnsi="Times New Roman" w:cs="Times New Roman"/>
          <w:sz w:val="24"/>
          <w:szCs w:val="24"/>
        </w:rPr>
        <w:t xml:space="preserve">dvisory </w:t>
      </w:r>
      <w:r w:rsidR="00BC4A7E">
        <w:rPr>
          <w:rFonts w:ascii="Times New Roman" w:hAnsi="Times New Roman" w:cs="Times New Roman"/>
          <w:sz w:val="24"/>
          <w:szCs w:val="24"/>
        </w:rPr>
        <w:t>c</w:t>
      </w:r>
      <w:r w:rsidR="00DB1A67" w:rsidRPr="00EF3776">
        <w:rPr>
          <w:rFonts w:ascii="Times New Roman" w:hAnsi="Times New Roman" w:cs="Times New Roman"/>
          <w:sz w:val="24"/>
          <w:szCs w:val="24"/>
        </w:rPr>
        <w:t xml:space="preserve">ommittee </w:t>
      </w:r>
      <w:r w:rsidR="00F42500" w:rsidRPr="00EF3776">
        <w:rPr>
          <w:rFonts w:ascii="Times New Roman" w:hAnsi="Times New Roman" w:cs="Times New Roman"/>
          <w:sz w:val="24"/>
          <w:szCs w:val="24"/>
        </w:rPr>
        <w:t>will</w:t>
      </w:r>
      <w:r w:rsidR="009F0A24" w:rsidRPr="00EF3776">
        <w:rPr>
          <w:rFonts w:ascii="Times New Roman" w:hAnsi="Times New Roman" w:cs="Times New Roman"/>
          <w:sz w:val="24"/>
          <w:szCs w:val="24"/>
        </w:rPr>
        <w:t xml:space="preserve"> </w:t>
      </w:r>
      <w:r w:rsidR="00BC4A7E">
        <w:rPr>
          <w:rFonts w:ascii="Times New Roman" w:hAnsi="Times New Roman" w:cs="Times New Roman"/>
          <w:sz w:val="24"/>
          <w:szCs w:val="24"/>
        </w:rPr>
        <w:t xml:space="preserve">also </w:t>
      </w:r>
      <w:r w:rsidR="000F4273" w:rsidRPr="00EF3776">
        <w:rPr>
          <w:rFonts w:ascii="Times New Roman" w:hAnsi="Times New Roman" w:cs="Times New Roman"/>
          <w:sz w:val="24"/>
          <w:szCs w:val="24"/>
        </w:rPr>
        <w:t xml:space="preserve">advise on the development, implementation and progress of KT activities in this project. </w:t>
      </w:r>
      <w:r w:rsidRPr="00EF3776">
        <w:rPr>
          <w:rFonts w:ascii="Times New Roman" w:hAnsi="Times New Roman" w:cs="Times New Roman"/>
          <w:sz w:val="24"/>
          <w:szCs w:val="24"/>
        </w:rPr>
        <w:t xml:space="preserve">We will </w:t>
      </w:r>
      <w:r w:rsidR="00F42500" w:rsidRPr="00EF3776">
        <w:rPr>
          <w:rFonts w:ascii="Times New Roman" w:hAnsi="Times New Roman" w:cs="Times New Roman"/>
          <w:sz w:val="24"/>
          <w:szCs w:val="24"/>
        </w:rPr>
        <w:t>provide</w:t>
      </w:r>
      <w:r w:rsidRPr="00EF3776">
        <w:rPr>
          <w:rFonts w:ascii="Times New Roman" w:hAnsi="Times New Roman" w:cs="Times New Roman"/>
          <w:sz w:val="24"/>
          <w:szCs w:val="24"/>
        </w:rPr>
        <w:t xml:space="preserve"> updates to </w:t>
      </w:r>
      <w:r w:rsidR="00F42500" w:rsidRPr="00EF3776">
        <w:rPr>
          <w:rFonts w:ascii="Times New Roman" w:hAnsi="Times New Roman" w:cs="Times New Roman"/>
          <w:sz w:val="24"/>
          <w:szCs w:val="24"/>
        </w:rPr>
        <w:t>Health Canada via</w:t>
      </w:r>
      <w:r w:rsidRPr="00EF3776">
        <w:rPr>
          <w:rFonts w:ascii="Times New Roman" w:hAnsi="Times New Roman" w:cs="Times New Roman"/>
          <w:sz w:val="24"/>
          <w:szCs w:val="24"/>
        </w:rPr>
        <w:t xml:space="preserve"> the DSEN </w:t>
      </w:r>
      <w:r w:rsidR="00BC4A7E">
        <w:rPr>
          <w:rFonts w:ascii="Times New Roman" w:hAnsi="Times New Roman" w:cs="Times New Roman"/>
          <w:sz w:val="24"/>
          <w:szCs w:val="24"/>
        </w:rPr>
        <w:t>c</w:t>
      </w:r>
      <w:r w:rsidRPr="00EF3776">
        <w:rPr>
          <w:rFonts w:ascii="Times New Roman" w:hAnsi="Times New Roman" w:cs="Times New Roman"/>
          <w:sz w:val="24"/>
          <w:szCs w:val="24"/>
        </w:rPr>
        <w:t xml:space="preserve">oordinating </w:t>
      </w:r>
      <w:r w:rsidR="00BC4A7E">
        <w:rPr>
          <w:rFonts w:ascii="Times New Roman" w:hAnsi="Times New Roman" w:cs="Times New Roman"/>
          <w:sz w:val="24"/>
          <w:szCs w:val="24"/>
        </w:rPr>
        <w:t>o</w:t>
      </w:r>
      <w:r w:rsidRPr="00EF3776">
        <w:rPr>
          <w:rFonts w:ascii="Times New Roman" w:hAnsi="Times New Roman" w:cs="Times New Roman"/>
          <w:sz w:val="24"/>
          <w:szCs w:val="24"/>
        </w:rPr>
        <w:t>ffice in two formats:</w:t>
      </w:r>
      <w:r w:rsidR="00BC4A7E">
        <w:rPr>
          <w:rFonts w:ascii="Times New Roman" w:hAnsi="Times New Roman" w:cs="Times New Roman"/>
          <w:sz w:val="24"/>
          <w:szCs w:val="24"/>
        </w:rPr>
        <w:t xml:space="preserve"> quarterly</w:t>
      </w:r>
      <w:r w:rsidRPr="00EF3776">
        <w:rPr>
          <w:rFonts w:ascii="Times New Roman" w:hAnsi="Times New Roman" w:cs="Times New Roman"/>
          <w:sz w:val="24"/>
          <w:szCs w:val="24"/>
        </w:rPr>
        <w:t xml:space="preserve"> interim reports and </w:t>
      </w:r>
      <w:r w:rsidR="00BC4A7E">
        <w:rPr>
          <w:rFonts w:ascii="Times New Roman" w:hAnsi="Times New Roman" w:cs="Times New Roman"/>
          <w:sz w:val="24"/>
          <w:szCs w:val="24"/>
        </w:rPr>
        <w:t xml:space="preserve">a </w:t>
      </w:r>
      <w:r w:rsidRPr="00EF3776">
        <w:rPr>
          <w:rFonts w:ascii="Times New Roman" w:hAnsi="Times New Roman" w:cs="Times New Roman"/>
          <w:sz w:val="24"/>
          <w:szCs w:val="24"/>
        </w:rPr>
        <w:t>final report. Through</w:t>
      </w:r>
      <w:r w:rsidR="00F42500" w:rsidRPr="00EF3776">
        <w:rPr>
          <w:rFonts w:ascii="Times New Roman" w:hAnsi="Times New Roman" w:cs="Times New Roman"/>
          <w:sz w:val="24"/>
          <w:szCs w:val="24"/>
        </w:rPr>
        <w:t xml:space="preserve"> quarterly</w:t>
      </w:r>
      <w:r w:rsidRPr="00EF3776">
        <w:rPr>
          <w:rFonts w:ascii="Times New Roman" w:hAnsi="Times New Roman" w:cs="Times New Roman"/>
          <w:sz w:val="24"/>
          <w:szCs w:val="24"/>
        </w:rPr>
        <w:t xml:space="preserve"> interim reports we will share information on the status of </w:t>
      </w:r>
      <w:r w:rsidR="00493405" w:rsidRPr="00EF3776">
        <w:rPr>
          <w:rFonts w:ascii="Times New Roman" w:hAnsi="Times New Roman" w:cs="Times New Roman"/>
          <w:sz w:val="24"/>
          <w:szCs w:val="24"/>
        </w:rPr>
        <w:t>the project</w:t>
      </w:r>
      <w:r w:rsidRPr="00EF3776">
        <w:rPr>
          <w:rFonts w:ascii="Times New Roman" w:hAnsi="Times New Roman" w:cs="Times New Roman"/>
          <w:sz w:val="24"/>
          <w:szCs w:val="24"/>
        </w:rPr>
        <w:t>, provide early results from preliminary analys</w:t>
      </w:r>
      <w:r w:rsidR="00493405" w:rsidRPr="00EF3776">
        <w:rPr>
          <w:rFonts w:ascii="Times New Roman" w:hAnsi="Times New Roman" w:cs="Times New Roman"/>
          <w:sz w:val="24"/>
          <w:szCs w:val="24"/>
        </w:rPr>
        <w:t>i</w:t>
      </w:r>
      <w:r w:rsidRPr="00EF3776">
        <w:rPr>
          <w:rFonts w:ascii="Times New Roman" w:hAnsi="Times New Roman" w:cs="Times New Roman"/>
          <w:sz w:val="24"/>
          <w:szCs w:val="24"/>
        </w:rPr>
        <w:t xml:space="preserve">s, as well as inform </w:t>
      </w:r>
      <w:r w:rsidR="00BC4A7E">
        <w:rPr>
          <w:rFonts w:ascii="Times New Roman" w:hAnsi="Times New Roman" w:cs="Times New Roman"/>
          <w:sz w:val="24"/>
          <w:szCs w:val="24"/>
        </w:rPr>
        <w:t>DSEN about potential</w:t>
      </w:r>
      <w:r w:rsidR="00BC4A7E" w:rsidRPr="00EF3776">
        <w:rPr>
          <w:rFonts w:ascii="Times New Roman" w:hAnsi="Times New Roman" w:cs="Times New Roman"/>
          <w:sz w:val="24"/>
          <w:szCs w:val="24"/>
        </w:rPr>
        <w:t xml:space="preserve"> </w:t>
      </w:r>
      <w:r w:rsidRPr="00EF3776">
        <w:rPr>
          <w:rFonts w:ascii="Times New Roman" w:hAnsi="Times New Roman" w:cs="Times New Roman"/>
          <w:sz w:val="24"/>
          <w:szCs w:val="24"/>
        </w:rPr>
        <w:t>modifications o</w:t>
      </w:r>
      <w:r w:rsidR="00BC4A7E">
        <w:rPr>
          <w:rFonts w:ascii="Times New Roman" w:hAnsi="Times New Roman" w:cs="Times New Roman"/>
          <w:sz w:val="24"/>
          <w:szCs w:val="24"/>
        </w:rPr>
        <w:t>f</w:t>
      </w:r>
      <w:r w:rsidRPr="00EF3776">
        <w:rPr>
          <w:rFonts w:ascii="Times New Roman" w:hAnsi="Times New Roman" w:cs="Times New Roman"/>
          <w:sz w:val="24"/>
          <w:szCs w:val="24"/>
        </w:rPr>
        <w:t xml:space="preserve"> project milestones and/or research protocols </w:t>
      </w:r>
      <w:r w:rsidR="00493405" w:rsidRPr="00EF3776">
        <w:rPr>
          <w:rFonts w:ascii="Times New Roman" w:hAnsi="Times New Roman" w:cs="Times New Roman"/>
          <w:sz w:val="24"/>
          <w:szCs w:val="24"/>
        </w:rPr>
        <w:t>as needed</w:t>
      </w:r>
      <w:r w:rsidRPr="00EF3776">
        <w:rPr>
          <w:rFonts w:ascii="Times New Roman" w:hAnsi="Times New Roman" w:cs="Times New Roman"/>
          <w:sz w:val="24"/>
          <w:szCs w:val="24"/>
        </w:rPr>
        <w:t xml:space="preserve">. </w:t>
      </w:r>
      <w:r w:rsidR="00493405" w:rsidRPr="00EF3776">
        <w:rPr>
          <w:rFonts w:ascii="Times New Roman" w:hAnsi="Times New Roman" w:cs="Times New Roman"/>
          <w:sz w:val="24"/>
          <w:szCs w:val="24"/>
        </w:rPr>
        <w:t xml:space="preserve">We will also provide a final report, and make use of DSEN contacts with policy makers to ensure that results are adequately disseminated. Dissemination to a wide audience (researchers, policy makers, and other stakeholders) at DSEN–sponsored workshops (such as those held in the context of </w:t>
      </w:r>
      <w:r w:rsidR="006A456A">
        <w:rPr>
          <w:rFonts w:ascii="Times New Roman" w:hAnsi="Times New Roman" w:cs="Times New Roman"/>
          <w:sz w:val="24"/>
          <w:szCs w:val="24"/>
        </w:rPr>
        <w:t>annual meetings of</w:t>
      </w:r>
      <w:r w:rsidR="006A456A" w:rsidRPr="00EF3776">
        <w:rPr>
          <w:rFonts w:ascii="Times New Roman" w:hAnsi="Times New Roman" w:cs="Times New Roman"/>
          <w:sz w:val="24"/>
          <w:szCs w:val="24"/>
        </w:rPr>
        <w:t xml:space="preserve"> </w:t>
      </w:r>
      <w:r w:rsidR="00493405" w:rsidRPr="00EF3776">
        <w:rPr>
          <w:rFonts w:ascii="Times New Roman" w:hAnsi="Times New Roman" w:cs="Times New Roman"/>
          <w:sz w:val="24"/>
          <w:szCs w:val="24"/>
        </w:rPr>
        <w:t xml:space="preserve">CADTH and </w:t>
      </w:r>
      <w:r w:rsidR="006A456A">
        <w:rPr>
          <w:rFonts w:ascii="Times New Roman" w:hAnsi="Times New Roman" w:cs="Times New Roman"/>
          <w:sz w:val="24"/>
          <w:szCs w:val="24"/>
        </w:rPr>
        <w:t xml:space="preserve">the </w:t>
      </w:r>
      <w:r w:rsidR="00493405" w:rsidRPr="00EF3776">
        <w:rPr>
          <w:rFonts w:ascii="Times New Roman" w:hAnsi="Times New Roman" w:cs="Times New Roman"/>
          <w:sz w:val="24"/>
          <w:szCs w:val="24"/>
        </w:rPr>
        <w:t xml:space="preserve">Canadian Association for Population Therapeutics [CAPT]) </w:t>
      </w:r>
      <w:r w:rsidR="006A456A">
        <w:rPr>
          <w:rFonts w:ascii="Times New Roman" w:hAnsi="Times New Roman" w:cs="Times New Roman"/>
          <w:sz w:val="24"/>
          <w:szCs w:val="24"/>
        </w:rPr>
        <w:t>may</w:t>
      </w:r>
      <w:r w:rsidR="006A456A" w:rsidRPr="00EF3776">
        <w:rPr>
          <w:rFonts w:ascii="Times New Roman" w:hAnsi="Times New Roman" w:cs="Times New Roman"/>
          <w:sz w:val="24"/>
          <w:szCs w:val="24"/>
        </w:rPr>
        <w:t xml:space="preserve"> </w:t>
      </w:r>
      <w:r w:rsidR="00493405" w:rsidRPr="00EF3776">
        <w:rPr>
          <w:rFonts w:ascii="Times New Roman" w:hAnsi="Times New Roman" w:cs="Times New Roman"/>
          <w:sz w:val="24"/>
          <w:szCs w:val="24"/>
        </w:rPr>
        <w:t>also be possible.</w:t>
      </w:r>
    </w:p>
    <w:p w:rsidR="00BC4A7E" w:rsidRDefault="00BC4A7E" w:rsidP="002F4A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A2CAB">
        <w:rPr>
          <w:rFonts w:ascii="Times New Roman" w:hAnsi="Times New Roman" w:cs="Times New Roman"/>
          <w:sz w:val="24"/>
          <w:szCs w:val="24"/>
        </w:rPr>
        <w:t>novel</w:t>
      </w:r>
      <w:r>
        <w:rPr>
          <w:rFonts w:ascii="Times New Roman" w:hAnsi="Times New Roman" w:cs="Times New Roman"/>
          <w:sz w:val="24"/>
          <w:szCs w:val="24"/>
        </w:rPr>
        <w:t xml:space="preserve"> element of our KT plan will be the presentation of our preliminary and final results at stakeholder workshops. This will help us gather information from a wide range of stakeholders (patients, physicians, and policy makers) regarding reasons for our results.</w:t>
      </w:r>
    </w:p>
    <w:p w:rsidR="008A7FE0" w:rsidRDefault="007F2C40" w:rsidP="002F4A00">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H</w:t>
      </w:r>
      <w:r w:rsidR="008A7FE0" w:rsidRPr="00491FF8">
        <w:rPr>
          <w:rFonts w:ascii="Times New Roman" w:hAnsi="Times New Roman" w:cs="Times New Roman"/>
          <w:b/>
          <w:sz w:val="24"/>
          <w:szCs w:val="24"/>
        </w:rPr>
        <w:t>. SUMMARY</w:t>
      </w:r>
    </w:p>
    <w:p w:rsidR="007D6A29" w:rsidRDefault="008A7FE0" w:rsidP="002F4A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With this proof of concept project, we aim to demonstrate the feasibility of creating a network of clinical cohorts and other resources to provide real-world information on the use of biosimilar drugs in Canada.</w:t>
      </w:r>
      <w:r>
        <w:rPr>
          <w:rFonts w:ascii="Times New Roman" w:hAnsi="Times New Roman" w:cs="Times New Roman"/>
          <w:sz w:val="24"/>
          <w:szCs w:val="24"/>
          <w:lang w:val="en-GB"/>
        </w:rPr>
        <w:t xml:space="preserve"> </w:t>
      </w:r>
      <w:r w:rsidRPr="006A456A">
        <w:rPr>
          <w:rFonts w:ascii="Times New Roman" w:hAnsi="Times New Roman" w:cs="Times New Roman"/>
          <w:sz w:val="24"/>
          <w:szCs w:val="24"/>
        </w:rPr>
        <w:t>The core of our proposal revolves around the clinical datasets</w:t>
      </w:r>
      <w:r>
        <w:rPr>
          <w:rFonts w:ascii="Times New Roman" w:hAnsi="Times New Roman" w:cs="Times New Roman"/>
          <w:sz w:val="24"/>
          <w:szCs w:val="24"/>
        </w:rPr>
        <w:t>, but as we</w:t>
      </w:r>
      <w:r w:rsidRPr="006A456A">
        <w:rPr>
          <w:rFonts w:ascii="Times New Roman" w:hAnsi="Times New Roman" w:cs="Times New Roman"/>
          <w:sz w:val="24"/>
          <w:szCs w:val="24"/>
        </w:rPr>
        <w:t xml:space="preserve"> will complement that with </w:t>
      </w:r>
      <w:r w:rsidR="00BC4A7E">
        <w:rPr>
          <w:rFonts w:ascii="Times New Roman" w:hAnsi="Times New Roman" w:cs="Times New Roman"/>
          <w:sz w:val="24"/>
          <w:szCs w:val="24"/>
        </w:rPr>
        <w:t>analyses of national drug patterns using NPDUIS data</w:t>
      </w:r>
      <w:r w:rsidRPr="006A456A">
        <w:rPr>
          <w:rFonts w:ascii="Times New Roman" w:hAnsi="Times New Roman" w:cs="Times New Roman"/>
          <w:sz w:val="24"/>
          <w:szCs w:val="24"/>
        </w:rPr>
        <w:t>.</w:t>
      </w:r>
      <w:r>
        <w:rPr>
          <w:rFonts w:ascii="Times New Roman" w:hAnsi="Times New Roman" w:cs="Times New Roman"/>
          <w:sz w:val="24"/>
          <w:szCs w:val="24"/>
        </w:rPr>
        <w:t xml:space="preserve"> CAN-AIM </w:t>
      </w:r>
      <w:r w:rsidRPr="00EF3776">
        <w:rPr>
          <w:rFonts w:ascii="Times New Roman" w:hAnsi="Times New Roman" w:cs="Times New Roman"/>
          <w:sz w:val="24"/>
          <w:szCs w:val="24"/>
        </w:rPr>
        <w:t>is well-positioned to develop an effective program of research and surveillance related to biologic and biosimilar drugs.</w:t>
      </w:r>
    </w:p>
    <w:p w:rsidR="00B4352E" w:rsidRPr="00491FF8" w:rsidRDefault="00B4352E" w:rsidP="002F4A00">
      <w:pPr>
        <w:spacing w:after="120" w:line="240" w:lineRule="auto"/>
        <w:jc w:val="both"/>
        <w:rPr>
          <w:rFonts w:ascii="Times New Roman" w:hAnsi="Times New Roman" w:cs="Times New Roman"/>
          <w:sz w:val="24"/>
          <w:szCs w:val="24"/>
          <w:lang w:val="en-GB"/>
        </w:rPr>
        <w:sectPr w:rsidR="00B4352E" w:rsidRPr="00491FF8" w:rsidSect="00064AF2">
          <w:headerReference w:type="default" r:id="rId11"/>
          <w:footerReference w:type="default" r:id="rId12"/>
          <w:pgSz w:w="12240" w:h="15840"/>
          <w:pgMar w:top="1440" w:right="1440" w:bottom="1440" w:left="1440" w:header="708" w:footer="708" w:gutter="0"/>
          <w:cols w:space="708"/>
          <w:docGrid w:linePitch="360"/>
        </w:sectPr>
      </w:pPr>
    </w:p>
    <w:p w:rsidR="00E5452A" w:rsidRPr="00C76ED7" w:rsidRDefault="00E5452A" w:rsidP="00C76ED7">
      <w:pPr>
        <w:spacing w:after="120" w:line="276" w:lineRule="auto"/>
        <w:jc w:val="both"/>
        <w:rPr>
          <w:rFonts w:ascii="Times New Roman" w:hAnsi="Times New Roman" w:cs="Times New Roman"/>
          <w:b/>
          <w:sz w:val="24"/>
          <w:szCs w:val="24"/>
        </w:rPr>
      </w:pPr>
      <w:r w:rsidRPr="00C76ED7">
        <w:rPr>
          <w:rFonts w:ascii="Times New Roman" w:hAnsi="Times New Roman" w:cs="Times New Roman"/>
          <w:b/>
          <w:sz w:val="24"/>
          <w:szCs w:val="24"/>
        </w:rPr>
        <w:lastRenderedPageBreak/>
        <w:t>APPENDIX A – Brief description of the clinical cohorts</w:t>
      </w:r>
    </w:p>
    <w:p w:rsidR="00E5452A" w:rsidRPr="00C76ED7" w:rsidRDefault="00E5452A" w:rsidP="00C76ED7">
      <w:pPr>
        <w:spacing w:after="120" w:line="276" w:lineRule="auto"/>
        <w:jc w:val="both"/>
        <w:rPr>
          <w:rFonts w:ascii="Times New Roman" w:hAnsi="Times New Roman" w:cs="Times New Roman"/>
          <w:sz w:val="24"/>
          <w:szCs w:val="24"/>
          <w:u w:val="single"/>
        </w:rPr>
      </w:pPr>
      <w:r w:rsidRPr="00C76ED7">
        <w:rPr>
          <w:rFonts w:ascii="Times New Roman" w:hAnsi="Times New Roman" w:cs="Times New Roman"/>
          <w:sz w:val="24"/>
          <w:szCs w:val="24"/>
          <w:u w:val="single"/>
        </w:rPr>
        <w:t>Canadian Early Arthritis Cohort (CATCH)</w:t>
      </w:r>
    </w:p>
    <w:p w:rsidR="00E5452A" w:rsidRPr="00C76ED7" w:rsidRDefault="00E5452A" w:rsidP="00C76ED7">
      <w:pPr>
        <w:spacing w:after="120"/>
        <w:jc w:val="both"/>
        <w:rPr>
          <w:rFonts w:ascii="Times New Roman" w:hAnsi="Times New Roman" w:cs="Times New Roman"/>
          <w:sz w:val="24"/>
          <w:szCs w:val="24"/>
        </w:rPr>
      </w:pPr>
      <w:r w:rsidRPr="00C76ED7">
        <w:rPr>
          <w:rFonts w:ascii="Times New Roman" w:hAnsi="Times New Roman" w:cs="Times New Roman"/>
          <w:sz w:val="24"/>
          <w:szCs w:val="24"/>
          <w:lang w:val="en-US"/>
        </w:rPr>
        <w:t xml:space="preserve">CATCH is a successful multicenter ongoing observational cohort study of patients with early RA (ERA) recruiting 300 patients per year and who are followed according to a standardized protocol. The consortium has been actively studying these patients since 2007. CATCH has a network of 19 clinical sites across Canada in both teaching hospitals and community-based hospitals or clinics. CATCH has more than 1,800 patient participants with </w:t>
      </w:r>
      <w:r w:rsidRPr="00C76ED7">
        <w:rPr>
          <w:rFonts w:ascii="Times New Roman" w:hAnsi="Times New Roman" w:cs="Times New Roman"/>
          <w:noProof/>
          <w:sz w:val="24"/>
          <w:szCs w:val="24"/>
          <w:lang w:val="en-US"/>
        </w:rPr>
        <w:t>a regular</w:t>
      </w:r>
      <w:r w:rsidRPr="00C76ED7">
        <w:rPr>
          <w:rFonts w:ascii="Times New Roman" w:hAnsi="Times New Roman" w:cs="Times New Roman"/>
          <w:sz w:val="24"/>
          <w:szCs w:val="24"/>
          <w:lang w:val="en-US"/>
        </w:rPr>
        <w:t xml:space="preserve"> collection of information about health status, treatments, joint swelling, and overall disease progress.</w:t>
      </w:r>
    </w:p>
    <w:p w:rsidR="00E5452A" w:rsidRPr="00C76ED7" w:rsidRDefault="00E5452A" w:rsidP="00C76ED7">
      <w:pPr>
        <w:spacing w:after="120" w:line="276" w:lineRule="auto"/>
        <w:jc w:val="both"/>
        <w:rPr>
          <w:rFonts w:ascii="Times New Roman" w:hAnsi="Times New Roman" w:cs="Times New Roman"/>
          <w:sz w:val="24"/>
          <w:szCs w:val="24"/>
          <w:u w:val="single"/>
        </w:rPr>
      </w:pPr>
      <w:r w:rsidRPr="00C76ED7">
        <w:rPr>
          <w:rFonts w:ascii="Times New Roman" w:hAnsi="Times New Roman" w:cs="Times New Roman"/>
          <w:sz w:val="24"/>
          <w:szCs w:val="24"/>
          <w:u w:val="single"/>
        </w:rPr>
        <w:t>Ontario Best Practices Research Initiative - Rheumatoid Arthritis Registry (OBRI-RA)</w:t>
      </w:r>
    </w:p>
    <w:p w:rsidR="00E5452A" w:rsidRPr="00C76ED7" w:rsidRDefault="00E5452A" w:rsidP="00C76ED7">
      <w:pPr>
        <w:spacing w:after="120"/>
        <w:jc w:val="both"/>
        <w:rPr>
          <w:rFonts w:ascii="Times New Roman" w:hAnsi="Times New Roman" w:cs="Times New Roman"/>
          <w:sz w:val="24"/>
          <w:szCs w:val="24"/>
        </w:rPr>
      </w:pPr>
      <w:r w:rsidRPr="00C76ED7">
        <w:rPr>
          <w:rFonts w:ascii="Times New Roman" w:hAnsi="Times New Roman" w:cs="Times New Roman"/>
          <w:sz w:val="24"/>
          <w:szCs w:val="24"/>
        </w:rPr>
        <w:t>OBRI-RA is a clinical registry of RA patients followed in routine care. Data collected includes detailed clinical data, longitudinal evolution of treatments and disease severity, with long-term administrative data on adverse events and health care use.</w:t>
      </w:r>
    </w:p>
    <w:p w:rsidR="00E5452A" w:rsidRPr="00C76ED7" w:rsidRDefault="00E5452A" w:rsidP="00C76ED7">
      <w:pPr>
        <w:spacing w:after="120" w:line="276" w:lineRule="auto"/>
        <w:jc w:val="both"/>
        <w:rPr>
          <w:rFonts w:ascii="Times New Roman" w:hAnsi="Times New Roman" w:cs="Times New Roman"/>
          <w:sz w:val="24"/>
          <w:szCs w:val="24"/>
          <w:u w:val="single"/>
          <w:lang w:val="en-GB"/>
        </w:rPr>
      </w:pPr>
      <w:r w:rsidRPr="00C76ED7">
        <w:rPr>
          <w:rFonts w:ascii="Times New Roman" w:hAnsi="Times New Roman" w:cs="Times New Roman"/>
          <w:bCs/>
          <w:sz w:val="24"/>
          <w:szCs w:val="24"/>
          <w:u w:val="single"/>
          <w:lang w:val="en-US"/>
        </w:rPr>
        <w:t>R</w:t>
      </w:r>
      <w:r w:rsidRPr="00C76ED7">
        <w:rPr>
          <w:rFonts w:ascii="Times New Roman" w:hAnsi="Times New Roman" w:cs="Times New Roman"/>
          <w:sz w:val="24"/>
          <w:szCs w:val="24"/>
          <w:u w:val="single"/>
          <w:lang w:val="en-US"/>
        </w:rPr>
        <w:t xml:space="preserve">heumatoid </w:t>
      </w:r>
      <w:r w:rsidRPr="00C76ED7">
        <w:rPr>
          <w:rFonts w:ascii="Times New Roman" w:hAnsi="Times New Roman" w:cs="Times New Roman"/>
          <w:bCs/>
          <w:sz w:val="24"/>
          <w:szCs w:val="24"/>
          <w:u w:val="single"/>
          <w:lang w:val="en-US"/>
        </w:rPr>
        <w:t>A</w:t>
      </w:r>
      <w:r w:rsidRPr="00C76ED7">
        <w:rPr>
          <w:rFonts w:ascii="Times New Roman" w:hAnsi="Times New Roman" w:cs="Times New Roman"/>
          <w:sz w:val="24"/>
          <w:szCs w:val="24"/>
          <w:u w:val="single"/>
          <w:lang w:val="en-US"/>
        </w:rPr>
        <w:t xml:space="preserve">rthritis </w:t>
      </w:r>
      <w:r w:rsidRPr="00C76ED7">
        <w:rPr>
          <w:rFonts w:ascii="Times New Roman" w:hAnsi="Times New Roman" w:cs="Times New Roman"/>
          <w:bCs/>
          <w:noProof/>
          <w:sz w:val="24"/>
          <w:szCs w:val="24"/>
          <w:u w:val="single"/>
          <w:lang w:val="en-US"/>
        </w:rPr>
        <w:t>P</w:t>
      </w:r>
      <w:r w:rsidRPr="00C76ED7">
        <w:rPr>
          <w:rFonts w:ascii="Times New Roman" w:hAnsi="Times New Roman" w:cs="Times New Roman"/>
          <w:noProof/>
          <w:sz w:val="24"/>
          <w:szCs w:val="24"/>
          <w:u w:val="single"/>
          <w:lang w:val="en-US"/>
        </w:rPr>
        <w:t>harmacovigilance</w:t>
      </w:r>
      <w:r w:rsidRPr="00C76ED7">
        <w:rPr>
          <w:rFonts w:ascii="Times New Roman" w:hAnsi="Times New Roman" w:cs="Times New Roman"/>
          <w:sz w:val="24"/>
          <w:szCs w:val="24"/>
          <w:u w:val="single"/>
          <w:lang w:val="en-US"/>
        </w:rPr>
        <w:t xml:space="preserve"> </w:t>
      </w:r>
      <w:r w:rsidRPr="00C76ED7">
        <w:rPr>
          <w:rFonts w:ascii="Times New Roman" w:hAnsi="Times New Roman" w:cs="Times New Roman"/>
          <w:bCs/>
          <w:sz w:val="24"/>
          <w:szCs w:val="24"/>
          <w:u w:val="single"/>
          <w:lang w:val="en-US"/>
        </w:rPr>
        <w:t>P</w:t>
      </w:r>
      <w:r w:rsidRPr="00C76ED7">
        <w:rPr>
          <w:rFonts w:ascii="Times New Roman" w:hAnsi="Times New Roman" w:cs="Times New Roman"/>
          <w:sz w:val="24"/>
          <w:szCs w:val="24"/>
          <w:u w:val="single"/>
          <w:lang w:val="en-US"/>
        </w:rPr>
        <w:t xml:space="preserve">rogram and </w:t>
      </w:r>
      <w:r w:rsidRPr="00C76ED7">
        <w:rPr>
          <w:rFonts w:ascii="Times New Roman" w:hAnsi="Times New Roman" w:cs="Times New Roman"/>
          <w:bCs/>
          <w:sz w:val="24"/>
          <w:szCs w:val="24"/>
          <w:u w:val="single"/>
          <w:lang w:val="en-US"/>
        </w:rPr>
        <w:t>O</w:t>
      </w:r>
      <w:r w:rsidRPr="00C76ED7">
        <w:rPr>
          <w:rFonts w:ascii="Times New Roman" w:hAnsi="Times New Roman" w:cs="Times New Roman"/>
          <w:sz w:val="24"/>
          <w:szCs w:val="24"/>
          <w:u w:val="single"/>
          <w:lang w:val="en-US"/>
        </w:rPr>
        <w:t xml:space="preserve">utcomes </w:t>
      </w:r>
      <w:r w:rsidRPr="00C76ED7">
        <w:rPr>
          <w:rFonts w:ascii="Times New Roman" w:hAnsi="Times New Roman" w:cs="Times New Roman"/>
          <w:bCs/>
          <w:sz w:val="24"/>
          <w:szCs w:val="24"/>
          <w:u w:val="single"/>
          <w:lang w:val="en-US"/>
        </w:rPr>
        <w:t>R</w:t>
      </w:r>
      <w:r w:rsidRPr="00C76ED7">
        <w:rPr>
          <w:rFonts w:ascii="Times New Roman" w:hAnsi="Times New Roman" w:cs="Times New Roman"/>
          <w:sz w:val="24"/>
          <w:szCs w:val="24"/>
          <w:u w:val="single"/>
          <w:lang w:val="en-US"/>
        </w:rPr>
        <w:t xml:space="preserve">esearch in </w:t>
      </w:r>
      <w:r w:rsidRPr="00C76ED7">
        <w:rPr>
          <w:rFonts w:ascii="Times New Roman" w:hAnsi="Times New Roman" w:cs="Times New Roman"/>
          <w:bCs/>
          <w:sz w:val="24"/>
          <w:szCs w:val="24"/>
          <w:u w:val="single"/>
          <w:lang w:val="en-US"/>
        </w:rPr>
        <w:t>T</w:t>
      </w:r>
      <w:r w:rsidRPr="00C76ED7">
        <w:rPr>
          <w:rFonts w:ascii="Times New Roman" w:hAnsi="Times New Roman" w:cs="Times New Roman"/>
          <w:sz w:val="24"/>
          <w:szCs w:val="24"/>
          <w:u w:val="single"/>
          <w:lang w:val="en-US"/>
        </w:rPr>
        <w:t>herapeutics (</w:t>
      </w:r>
      <w:r w:rsidRPr="00C76ED7">
        <w:rPr>
          <w:rFonts w:ascii="Times New Roman" w:hAnsi="Times New Roman" w:cs="Times New Roman"/>
          <w:sz w:val="24"/>
          <w:szCs w:val="24"/>
          <w:u w:val="single"/>
          <w:lang w:val="en-GB"/>
        </w:rPr>
        <w:t>RAPPORT)</w:t>
      </w:r>
    </w:p>
    <w:p w:rsidR="00E5452A" w:rsidRPr="00C76ED7" w:rsidRDefault="00E5452A" w:rsidP="00C76ED7">
      <w:pPr>
        <w:pStyle w:val="PlainText"/>
        <w:spacing w:after="120" w:line="276" w:lineRule="auto"/>
        <w:jc w:val="both"/>
        <w:rPr>
          <w:rFonts w:ascii="Times New Roman" w:hAnsi="Times New Roman"/>
          <w:sz w:val="24"/>
          <w:szCs w:val="24"/>
          <w:lang w:val="en-US"/>
        </w:rPr>
      </w:pPr>
      <w:r w:rsidRPr="00C76ED7">
        <w:rPr>
          <w:rFonts w:ascii="Times New Roman" w:hAnsi="Times New Roman"/>
          <w:sz w:val="24"/>
          <w:szCs w:val="24"/>
          <w:lang w:val="en-GB"/>
        </w:rPr>
        <w:t>RAPPORT</w:t>
      </w:r>
      <w:r w:rsidRPr="00C76ED7">
        <w:rPr>
          <w:rFonts w:ascii="Times New Roman" w:hAnsi="Times New Roman"/>
          <w:sz w:val="24"/>
          <w:szCs w:val="24"/>
          <w:lang w:val="en-US"/>
        </w:rPr>
        <w:t xml:space="preserve"> is a </w:t>
      </w:r>
      <w:r w:rsidRPr="00C76ED7">
        <w:rPr>
          <w:rFonts w:ascii="Times New Roman" w:hAnsi="Times New Roman"/>
          <w:bCs/>
          <w:sz w:val="24"/>
          <w:szCs w:val="24"/>
          <w:lang w:val="en-US"/>
        </w:rPr>
        <w:t xml:space="preserve">prospective cohort registry </w:t>
      </w:r>
      <w:r w:rsidRPr="00C76ED7">
        <w:rPr>
          <w:rFonts w:ascii="Times New Roman" w:hAnsi="Times New Roman"/>
          <w:sz w:val="24"/>
          <w:szCs w:val="24"/>
          <w:lang w:val="en-US"/>
        </w:rPr>
        <w:t xml:space="preserve">launched in the Province of Alberta in 2003 and comprises patients with rheumatoid arthritis (RA) psoriatic arthritis. Longitudinal data are collected at baseline, 3 months, and every 6 months thereafter on several clinical and laboratory measures of efficacy (swollen and tender joint count, patient global, patient VAS pain, Health Assessment Questionnaire, Disease Activity Score, C-reactive protein, erythrocyte sedimentation rate, x-rays of hands and feet), safety, employment, health care and community resource utilization, and </w:t>
      </w:r>
      <w:r w:rsidRPr="00C76ED7">
        <w:rPr>
          <w:rFonts w:ascii="Times New Roman" w:hAnsi="Times New Roman"/>
          <w:noProof/>
          <w:sz w:val="24"/>
          <w:szCs w:val="24"/>
          <w:lang w:val="en-US"/>
        </w:rPr>
        <w:t>Health Related</w:t>
      </w:r>
      <w:r w:rsidRPr="00C76ED7">
        <w:rPr>
          <w:rFonts w:ascii="Times New Roman" w:hAnsi="Times New Roman"/>
          <w:sz w:val="24"/>
          <w:szCs w:val="24"/>
          <w:lang w:val="en-US"/>
        </w:rPr>
        <w:t xml:space="preserve"> Quality of Life. Patients provide outcomes data directly into an online questionnaire. </w:t>
      </w:r>
    </w:p>
    <w:p w:rsidR="00E5452A" w:rsidRPr="00C76ED7" w:rsidRDefault="00E5452A" w:rsidP="00C76ED7">
      <w:pPr>
        <w:spacing w:after="120" w:line="276" w:lineRule="auto"/>
        <w:jc w:val="both"/>
        <w:rPr>
          <w:rFonts w:ascii="Times New Roman" w:hAnsi="Times New Roman" w:cs="Times New Roman"/>
          <w:sz w:val="24"/>
          <w:szCs w:val="24"/>
          <w:u w:val="single"/>
          <w:lang w:val="en-GB"/>
        </w:rPr>
      </w:pPr>
      <w:r w:rsidRPr="00C76ED7">
        <w:rPr>
          <w:rFonts w:ascii="Times New Roman" w:hAnsi="Times New Roman" w:cs="Times New Roman"/>
          <w:noProof/>
          <w:sz w:val="24"/>
          <w:szCs w:val="24"/>
          <w:u w:val="single"/>
          <w:lang w:val="en-GB"/>
        </w:rPr>
        <w:t>FOllow</w:t>
      </w:r>
      <w:r w:rsidRPr="00C76ED7">
        <w:rPr>
          <w:rFonts w:ascii="Times New Roman" w:hAnsi="Times New Roman" w:cs="Times New Roman"/>
          <w:sz w:val="24"/>
          <w:szCs w:val="24"/>
          <w:u w:val="single"/>
          <w:lang w:val="en-GB"/>
        </w:rPr>
        <w:t xml:space="preserve"> up Research Cohort Ankylosing </w:t>
      </w:r>
      <w:proofErr w:type="spellStart"/>
      <w:r w:rsidRPr="00C76ED7">
        <w:rPr>
          <w:rFonts w:ascii="Times New Roman" w:hAnsi="Times New Roman" w:cs="Times New Roman"/>
          <w:sz w:val="24"/>
          <w:szCs w:val="24"/>
          <w:u w:val="single"/>
          <w:lang w:val="en-GB"/>
        </w:rPr>
        <w:t>SpondyliTis</w:t>
      </w:r>
      <w:proofErr w:type="spellEnd"/>
      <w:r w:rsidRPr="00C76ED7">
        <w:rPr>
          <w:rFonts w:ascii="Times New Roman" w:hAnsi="Times New Roman" w:cs="Times New Roman"/>
          <w:sz w:val="24"/>
          <w:szCs w:val="24"/>
          <w:u w:val="single"/>
          <w:lang w:val="en-GB"/>
        </w:rPr>
        <w:t xml:space="preserve"> (FORCAST)</w:t>
      </w:r>
    </w:p>
    <w:p w:rsidR="00E5452A" w:rsidRPr="00C76ED7" w:rsidRDefault="00E5452A" w:rsidP="00C76ED7">
      <w:pPr>
        <w:spacing w:after="120" w:line="276" w:lineRule="auto"/>
        <w:jc w:val="both"/>
        <w:rPr>
          <w:rFonts w:ascii="Times New Roman" w:hAnsi="Times New Roman" w:cs="Times New Roman"/>
          <w:sz w:val="24"/>
          <w:szCs w:val="24"/>
          <w:lang w:val="en-GB"/>
        </w:rPr>
      </w:pPr>
      <w:r w:rsidRPr="00C76ED7">
        <w:rPr>
          <w:rFonts w:ascii="Times New Roman" w:hAnsi="Times New Roman"/>
          <w:sz w:val="24"/>
          <w:szCs w:val="24"/>
          <w:lang w:val="en-GB"/>
        </w:rPr>
        <w:t>FORCAST</w:t>
      </w:r>
      <w:r w:rsidRPr="00C76ED7">
        <w:rPr>
          <w:rFonts w:ascii="Times New Roman" w:hAnsi="Times New Roman"/>
          <w:sz w:val="24"/>
          <w:szCs w:val="24"/>
          <w:lang w:val="en-US"/>
        </w:rPr>
        <w:t xml:space="preserve"> constitutes an integrated health care delivery model whereby patients with ankylosing spondylitis (AS) receive care through a network of health care providers that include rheumatologists and specialist nurse practitioners. Data is collected at baseline, 3 months, and every 6 months thereafter </w:t>
      </w:r>
      <w:r w:rsidRPr="00C76ED7">
        <w:rPr>
          <w:rFonts w:ascii="Times New Roman" w:hAnsi="Times New Roman"/>
          <w:noProof/>
          <w:sz w:val="24"/>
          <w:szCs w:val="24"/>
          <w:lang w:val="en-US"/>
        </w:rPr>
        <w:t>in</w:t>
      </w:r>
      <w:r w:rsidRPr="00C76ED7">
        <w:rPr>
          <w:rFonts w:ascii="Times New Roman" w:hAnsi="Times New Roman"/>
          <w:sz w:val="24"/>
          <w:szCs w:val="24"/>
          <w:lang w:val="en-US"/>
        </w:rPr>
        <w:t xml:space="preserve"> disease activity and function measures (BASDAI, BASFI, patient global, patient VAS total back pain, nocturnal back pain, </w:t>
      </w:r>
      <w:r w:rsidRPr="00C76ED7">
        <w:rPr>
          <w:rFonts w:ascii="Times New Roman" w:hAnsi="Times New Roman"/>
          <w:noProof/>
          <w:sz w:val="24"/>
          <w:szCs w:val="24"/>
          <w:lang w:val="en-US"/>
        </w:rPr>
        <w:t>SPARCC</w:t>
      </w:r>
      <w:r w:rsidRPr="00C76ED7">
        <w:rPr>
          <w:rFonts w:ascii="Times New Roman" w:hAnsi="Times New Roman"/>
          <w:sz w:val="24"/>
          <w:szCs w:val="24"/>
          <w:lang w:val="en-US"/>
        </w:rPr>
        <w:t xml:space="preserve"> </w:t>
      </w:r>
      <w:proofErr w:type="spellStart"/>
      <w:r w:rsidRPr="00C76ED7">
        <w:rPr>
          <w:rFonts w:ascii="Times New Roman" w:hAnsi="Times New Roman"/>
          <w:sz w:val="24"/>
          <w:szCs w:val="24"/>
          <w:lang w:val="en-US"/>
        </w:rPr>
        <w:t>enthesitis</w:t>
      </w:r>
      <w:proofErr w:type="spellEnd"/>
      <w:r w:rsidRPr="00C76ED7">
        <w:rPr>
          <w:rFonts w:ascii="Times New Roman" w:hAnsi="Times New Roman"/>
          <w:sz w:val="24"/>
          <w:szCs w:val="24"/>
          <w:lang w:val="en-US"/>
        </w:rPr>
        <w:t xml:space="preserve"> score, BASMI and EDASMI mobility assessment, C-reactive protein, erythrocyte sedimentation rate), drug safety, employment, health care and community resource utilization, and </w:t>
      </w:r>
      <w:r w:rsidRPr="00C76ED7">
        <w:rPr>
          <w:rFonts w:ascii="Times New Roman" w:hAnsi="Times New Roman"/>
          <w:noProof/>
          <w:sz w:val="24"/>
          <w:szCs w:val="24"/>
          <w:lang w:val="en-US"/>
        </w:rPr>
        <w:t>Health Related</w:t>
      </w:r>
      <w:r w:rsidRPr="00C76ED7">
        <w:rPr>
          <w:rFonts w:ascii="Times New Roman" w:hAnsi="Times New Roman"/>
          <w:sz w:val="24"/>
          <w:szCs w:val="24"/>
          <w:lang w:val="en-US"/>
        </w:rPr>
        <w:t xml:space="preserve"> Quality of Life. Serum and imaging data is collected prospectively.</w:t>
      </w:r>
    </w:p>
    <w:p w:rsidR="00E5452A" w:rsidRPr="00C76ED7" w:rsidRDefault="00E5452A" w:rsidP="00C76ED7">
      <w:pPr>
        <w:spacing w:after="120" w:line="276" w:lineRule="auto"/>
        <w:jc w:val="both"/>
        <w:rPr>
          <w:rFonts w:ascii="Times New Roman" w:hAnsi="Times New Roman" w:cs="Times New Roman"/>
          <w:sz w:val="24"/>
          <w:szCs w:val="24"/>
        </w:rPr>
      </w:pPr>
      <w:r w:rsidRPr="00C76ED7">
        <w:rPr>
          <w:rFonts w:ascii="Times New Roman" w:hAnsi="Times New Roman" w:cs="Times New Roman"/>
          <w:sz w:val="24"/>
          <w:szCs w:val="24"/>
          <w:u w:val="single"/>
        </w:rPr>
        <w:t>RHUM</w:t>
      </w:r>
      <w:r w:rsidR="000E5832">
        <w:rPr>
          <w:rFonts w:ascii="Times New Roman" w:hAnsi="Times New Roman" w:cs="Times New Roman"/>
          <w:sz w:val="24"/>
          <w:szCs w:val="24"/>
          <w:u w:val="single"/>
        </w:rPr>
        <w:t>A</w:t>
      </w:r>
      <w:r w:rsidRPr="00C76ED7">
        <w:rPr>
          <w:rFonts w:ascii="Times New Roman" w:hAnsi="Times New Roman" w:cs="Times New Roman"/>
          <w:sz w:val="24"/>
          <w:szCs w:val="24"/>
          <w:u w:val="single"/>
        </w:rPr>
        <w:t xml:space="preserve">DATA Clinical Database and Registry </w:t>
      </w:r>
    </w:p>
    <w:p w:rsidR="00E5452A" w:rsidRPr="00C76ED7" w:rsidRDefault="00E5452A" w:rsidP="00C76ED7">
      <w:pPr>
        <w:spacing w:after="120"/>
        <w:jc w:val="both"/>
        <w:rPr>
          <w:rFonts w:ascii="Times New Roman" w:hAnsi="Times New Roman" w:cs="Times New Roman"/>
          <w:sz w:val="24"/>
          <w:szCs w:val="24"/>
        </w:rPr>
      </w:pPr>
      <w:r w:rsidRPr="00C76ED7">
        <w:rPr>
          <w:rFonts w:ascii="Times New Roman" w:hAnsi="Times New Roman" w:cs="Times New Roman"/>
          <w:sz w:val="24"/>
          <w:szCs w:val="24"/>
        </w:rPr>
        <w:t xml:space="preserve">RHUMADATA® has been collecting data for the past 16 years mainly from patients with RA. The database is set up in two centres in Quebec: Centre </w:t>
      </w:r>
      <w:proofErr w:type="spellStart"/>
      <w:r w:rsidRPr="00C76ED7">
        <w:rPr>
          <w:rFonts w:ascii="Times New Roman" w:hAnsi="Times New Roman" w:cs="Times New Roman"/>
          <w:sz w:val="24"/>
          <w:szCs w:val="24"/>
        </w:rPr>
        <w:t>d’Osteoporose</w:t>
      </w:r>
      <w:proofErr w:type="spellEnd"/>
      <w:r w:rsidRPr="00C76ED7">
        <w:rPr>
          <w:rFonts w:ascii="Times New Roman" w:hAnsi="Times New Roman" w:cs="Times New Roman"/>
          <w:sz w:val="24"/>
          <w:szCs w:val="24"/>
        </w:rPr>
        <w:t xml:space="preserve"> et de </w:t>
      </w:r>
      <w:proofErr w:type="spellStart"/>
      <w:r w:rsidRPr="00C76ED7">
        <w:rPr>
          <w:rFonts w:ascii="Times New Roman" w:hAnsi="Times New Roman" w:cs="Times New Roman"/>
          <w:sz w:val="24"/>
          <w:szCs w:val="24"/>
        </w:rPr>
        <w:t>Rhumatologie</w:t>
      </w:r>
      <w:proofErr w:type="spellEnd"/>
      <w:r w:rsidRPr="00C76ED7">
        <w:rPr>
          <w:rFonts w:ascii="Times New Roman" w:hAnsi="Times New Roman" w:cs="Times New Roman"/>
          <w:sz w:val="24"/>
          <w:szCs w:val="24"/>
        </w:rPr>
        <w:t xml:space="preserve"> de Quebec (CORQ) in Quebec City, which has an input of 25% of all data, and Institute of Rheumatology Research in Montreal (IRRM), which provides about 75% of all data. Currently, there are approximately 4,000 patients with RA in the database. </w:t>
      </w:r>
      <w:r w:rsidRPr="00C76ED7">
        <w:rPr>
          <w:rFonts w:ascii="Times New Roman" w:hAnsi="Times New Roman" w:cs="Times New Roman"/>
          <w:sz w:val="24"/>
          <w:szCs w:val="24"/>
          <w:lang w:val="en-US"/>
        </w:rPr>
        <w:t xml:space="preserve">Data included demographics, </w:t>
      </w:r>
      <w:r w:rsidRPr="00C76ED7">
        <w:rPr>
          <w:rFonts w:ascii="Times New Roman" w:hAnsi="Times New Roman" w:cs="Times New Roman"/>
          <w:sz w:val="24"/>
          <w:szCs w:val="24"/>
          <w:lang w:val="en-US"/>
        </w:rPr>
        <w:lastRenderedPageBreak/>
        <w:t>disease and therapy characteristics. Assessment of disease activity, including BASDAI, BASFI and ASDAS,</w:t>
      </w:r>
      <w:r w:rsidRPr="00C76ED7">
        <w:rPr>
          <w:rFonts w:ascii="Times New Roman" w:hAnsi="Times New Roman" w:cs="Times New Roman"/>
          <w:sz w:val="24"/>
          <w:szCs w:val="24"/>
        </w:rPr>
        <w:t xml:space="preserve"> reasons for discontinuation of a drug, laboratory imaging results. </w:t>
      </w:r>
    </w:p>
    <w:p w:rsidR="00DA339A" w:rsidRDefault="00DA339A" w:rsidP="001F5D54">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Early Undifferentiated </w:t>
      </w:r>
      <w:proofErr w:type="spellStart"/>
      <w:r>
        <w:rPr>
          <w:rFonts w:ascii="Times New Roman" w:hAnsi="Times New Roman" w:cs="Times New Roman"/>
          <w:sz w:val="24"/>
          <w:szCs w:val="24"/>
          <w:u w:val="single"/>
        </w:rPr>
        <w:t>PolyArthritis</w:t>
      </w:r>
      <w:proofErr w:type="spellEnd"/>
      <w:r>
        <w:rPr>
          <w:rFonts w:ascii="Times New Roman" w:hAnsi="Times New Roman" w:cs="Times New Roman"/>
          <w:sz w:val="24"/>
          <w:szCs w:val="24"/>
          <w:u w:val="single"/>
        </w:rPr>
        <w:t xml:space="preserve"> (EUPA) and Biologic Database </w:t>
      </w:r>
    </w:p>
    <w:p w:rsidR="00DA339A" w:rsidRDefault="005004EA" w:rsidP="001F5D54">
      <w:pPr>
        <w:spacing w:after="120" w:line="276" w:lineRule="auto"/>
        <w:jc w:val="both"/>
        <w:rPr>
          <w:rFonts w:ascii="Times New Roman" w:hAnsi="Times New Roman" w:cs="Times New Roman"/>
          <w:sz w:val="24"/>
          <w:szCs w:val="24"/>
          <w:u w:val="single"/>
        </w:rPr>
      </w:pPr>
      <w:r w:rsidRPr="005004EA">
        <w:rPr>
          <w:rFonts w:ascii="Times New Roman" w:hAnsi="Times New Roman" w:cs="Times New Roman"/>
          <w:sz w:val="24"/>
          <w:szCs w:val="24"/>
        </w:rPr>
        <w:t xml:space="preserve">This cohort and database collect data on individuals diagnosed with early inflammatory arthritis. The aim is to help define </w:t>
      </w:r>
      <w:r w:rsidR="002D749B">
        <w:rPr>
          <w:rFonts w:ascii="Times New Roman" w:hAnsi="Times New Roman" w:cs="Times New Roman"/>
          <w:sz w:val="24"/>
          <w:szCs w:val="24"/>
        </w:rPr>
        <w:t>the</w:t>
      </w:r>
      <w:r w:rsidRPr="005004EA">
        <w:rPr>
          <w:rFonts w:ascii="Times New Roman" w:hAnsi="Times New Roman" w:cs="Times New Roman"/>
          <w:sz w:val="24"/>
          <w:szCs w:val="24"/>
        </w:rPr>
        <w:t xml:space="preserve"> long-term evolution of inflammatory arthritis by detecting antibodies and other biological markers to determ</w:t>
      </w:r>
      <w:r w:rsidR="002D749B">
        <w:rPr>
          <w:rFonts w:ascii="Times New Roman" w:hAnsi="Times New Roman" w:cs="Times New Roman"/>
          <w:sz w:val="24"/>
          <w:szCs w:val="24"/>
        </w:rPr>
        <w:t>ine</w:t>
      </w:r>
      <w:r w:rsidRPr="005004EA">
        <w:rPr>
          <w:rFonts w:ascii="Times New Roman" w:hAnsi="Times New Roman" w:cs="Times New Roman"/>
          <w:sz w:val="24"/>
          <w:szCs w:val="24"/>
        </w:rPr>
        <w:t xml:space="preserve"> if they may be useful in predicting the outcome of a</w:t>
      </w:r>
      <w:r w:rsidR="002D749B">
        <w:rPr>
          <w:rFonts w:ascii="Times New Roman" w:hAnsi="Times New Roman" w:cs="Times New Roman"/>
          <w:sz w:val="24"/>
          <w:szCs w:val="24"/>
        </w:rPr>
        <w:t xml:space="preserve">rthritis. </w:t>
      </w:r>
      <w:r w:rsidR="002D749B" w:rsidRPr="00C76ED7">
        <w:rPr>
          <w:rFonts w:ascii="Times New Roman" w:hAnsi="Times New Roman"/>
          <w:sz w:val="24"/>
          <w:szCs w:val="24"/>
          <w:lang w:val="en-US"/>
        </w:rPr>
        <w:t>Data is co</w:t>
      </w:r>
      <w:r w:rsidR="002D749B">
        <w:rPr>
          <w:rFonts w:ascii="Times New Roman" w:hAnsi="Times New Roman"/>
          <w:sz w:val="24"/>
          <w:szCs w:val="24"/>
          <w:lang w:val="en-US"/>
        </w:rPr>
        <w:t>llected at baseline, 6</w:t>
      </w:r>
      <w:r w:rsidR="002D749B" w:rsidRPr="00C76ED7">
        <w:rPr>
          <w:rFonts w:ascii="Times New Roman" w:hAnsi="Times New Roman"/>
          <w:sz w:val="24"/>
          <w:szCs w:val="24"/>
          <w:lang w:val="en-US"/>
        </w:rPr>
        <w:t xml:space="preserve"> months, and </w:t>
      </w:r>
      <w:r w:rsidR="002D749B">
        <w:rPr>
          <w:rFonts w:ascii="Times New Roman" w:hAnsi="Times New Roman"/>
          <w:sz w:val="24"/>
          <w:szCs w:val="24"/>
          <w:lang w:val="en-US"/>
        </w:rPr>
        <w:t>annually</w:t>
      </w:r>
      <w:r w:rsidR="002D749B" w:rsidRPr="00C76ED7">
        <w:rPr>
          <w:rFonts w:ascii="Times New Roman" w:hAnsi="Times New Roman"/>
          <w:sz w:val="24"/>
          <w:szCs w:val="24"/>
          <w:lang w:val="en-US"/>
        </w:rPr>
        <w:t xml:space="preserve"> thereafter </w:t>
      </w:r>
      <w:r w:rsidR="002D749B" w:rsidRPr="00C76ED7">
        <w:rPr>
          <w:rFonts w:ascii="Times New Roman" w:hAnsi="Times New Roman"/>
          <w:noProof/>
          <w:sz w:val="24"/>
          <w:szCs w:val="24"/>
          <w:lang w:val="en-US"/>
        </w:rPr>
        <w:t>in</w:t>
      </w:r>
      <w:r w:rsidR="002D749B" w:rsidRPr="00C76ED7">
        <w:rPr>
          <w:rFonts w:ascii="Times New Roman" w:hAnsi="Times New Roman"/>
          <w:sz w:val="24"/>
          <w:szCs w:val="24"/>
          <w:lang w:val="en-US"/>
        </w:rPr>
        <w:t xml:space="preserve"> disease activity and function measures (</w:t>
      </w:r>
      <w:r w:rsidR="002D749B">
        <w:rPr>
          <w:rFonts w:ascii="Times New Roman" w:hAnsi="Times New Roman"/>
          <w:sz w:val="24"/>
          <w:szCs w:val="24"/>
          <w:lang w:val="en-US"/>
        </w:rPr>
        <w:t>X-rays of hands and feet, blood tests including complete blood count, sedimentation rate, protein C-reactive dosage, rheumatoid factor detection</w:t>
      </w:r>
      <w:r w:rsidR="002D749B" w:rsidRPr="00C76ED7">
        <w:rPr>
          <w:rFonts w:ascii="Times New Roman" w:hAnsi="Times New Roman"/>
          <w:sz w:val="24"/>
          <w:szCs w:val="24"/>
          <w:lang w:val="en-US"/>
        </w:rPr>
        <w:t xml:space="preserve">), drug safety, employment, health care and community resource utilization, and </w:t>
      </w:r>
      <w:r w:rsidR="002D749B" w:rsidRPr="00C76ED7">
        <w:rPr>
          <w:rFonts w:ascii="Times New Roman" w:hAnsi="Times New Roman"/>
          <w:noProof/>
          <w:sz w:val="24"/>
          <w:szCs w:val="24"/>
          <w:lang w:val="en-US"/>
        </w:rPr>
        <w:t>Health Related</w:t>
      </w:r>
      <w:r w:rsidR="002D749B" w:rsidRPr="00C76ED7">
        <w:rPr>
          <w:rFonts w:ascii="Times New Roman" w:hAnsi="Times New Roman"/>
          <w:sz w:val="24"/>
          <w:szCs w:val="24"/>
          <w:lang w:val="en-US"/>
        </w:rPr>
        <w:t xml:space="preserve"> Quality of Life. Serum is collected prospectively.</w:t>
      </w:r>
    </w:p>
    <w:p w:rsidR="001F5D54" w:rsidRPr="00C76ED7" w:rsidRDefault="001F5D54" w:rsidP="001F5D54">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Canadian IBD Research Consortium (CIRC)</w:t>
      </w:r>
    </w:p>
    <w:p w:rsidR="00E5452A" w:rsidRDefault="001F5D54" w:rsidP="0050321D">
      <w:pPr>
        <w:spacing w:after="120"/>
        <w:jc w:val="both"/>
        <w:rPr>
          <w:rFonts w:ascii="Times New Roman" w:hAnsi="Times New Roman" w:cs="Times New Roman"/>
        </w:rPr>
      </w:pPr>
      <w:r>
        <w:rPr>
          <w:rFonts w:ascii="Times New Roman" w:hAnsi="Times New Roman" w:cs="Times New Roman"/>
          <w:sz w:val="24"/>
          <w:szCs w:val="24"/>
          <w:lang w:val="en-US"/>
        </w:rPr>
        <w:t xml:space="preserve">CIRC is a research consortium </w:t>
      </w:r>
      <w:r w:rsidR="00966588">
        <w:rPr>
          <w:rFonts w:ascii="Times New Roman" w:hAnsi="Times New Roman" w:cs="Times New Roman"/>
          <w:sz w:val="24"/>
          <w:szCs w:val="24"/>
          <w:lang w:val="en-US"/>
        </w:rPr>
        <w:t xml:space="preserve">organized to promote research in inflammatory bowel diseases through collaboration of multiple Canadian </w:t>
      </w:r>
      <w:proofErr w:type="spellStart"/>
      <w:r w:rsidR="00966588">
        <w:rPr>
          <w:rFonts w:ascii="Times New Roman" w:hAnsi="Times New Roman" w:cs="Times New Roman"/>
          <w:sz w:val="24"/>
          <w:szCs w:val="24"/>
          <w:lang w:val="en-US"/>
        </w:rPr>
        <w:t>centres</w:t>
      </w:r>
      <w:proofErr w:type="spellEnd"/>
      <w:r w:rsidR="00966588">
        <w:rPr>
          <w:rFonts w:ascii="Times New Roman" w:hAnsi="Times New Roman" w:cs="Times New Roman"/>
          <w:sz w:val="24"/>
          <w:szCs w:val="24"/>
          <w:lang w:val="en-US"/>
        </w:rPr>
        <w:t>, including the McGill IBD Centre.</w:t>
      </w:r>
      <w:r w:rsidRPr="00C76ED7">
        <w:rPr>
          <w:rFonts w:ascii="Times New Roman" w:hAnsi="Times New Roman" w:cs="Times New Roman"/>
          <w:sz w:val="24"/>
          <w:szCs w:val="24"/>
          <w:lang w:val="en-US"/>
        </w:rPr>
        <w:t xml:space="preserve"> </w:t>
      </w:r>
      <w:r w:rsidR="00342B1C">
        <w:rPr>
          <w:rFonts w:ascii="Times New Roman" w:hAnsi="Times New Roman" w:cs="Times New Roman"/>
          <w:sz w:val="24"/>
          <w:szCs w:val="24"/>
          <w:lang w:val="en-US"/>
        </w:rPr>
        <w:t xml:space="preserve">CIRC support for Canadian </w:t>
      </w:r>
      <w:proofErr w:type="spellStart"/>
      <w:r w:rsidR="00342B1C">
        <w:rPr>
          <w:rFonts w:ascii="Times New Roman" w:hAnsi="Times New Roman" w:cs="Times New Roman"/>
          <w:sz w:val="24"/>
          <w:szCs w:val="24"/>
          <w:lang w:val="en-US"/>
        </w:rPr>
        <w:t>centres</w:t>
      </w:r>
      <w:proofErr w:type="spellEnd"/>
      <w:r w:rsidR="00342B1C">
        <w:rPr>
          <w:rFonts w:ascii="Times New Roman" w:hAnsi="Times New Roman" w:cs="Times New Roman"/>
          <w:sz w:val="24"/>
          <w:szCs w:val="24"/>
          <w:lang w:val="en-US"/>
        </w:rPr>
        <w:t xml:space="preserve"> like McGill IBD </w:t>
      </w:r>
      <w:r w:rsidR="0050321D">
        <w:rPr>
          <w:rFonts w:ascii="Times New Roman" w:hAnsi="Times New Roman" w:cs="Times New Roman"/>
          <w:sz w:val="24"/>
          <w:szCs w:val="24"/>
          <w:lang w:val="en-US"/>
        </w:rPr>
        <w:t>enables further research into the etiology of IBD, effectiv</w:t>
      </w:r>
      <w:r w:rsidR="007F2C40">
        <w:rPr>
          <w:rFonts w:ascii="Times New Roman" w:hAnsi="Times New Roman" w:cs="Times New Roman"/>
          <w:sz w:val="24"/>
          <w:szCs w:val="24"/>
          <w:lang w:val="en-US"/>
        </w:rPr>
        <w:t>e</w:t>
      </w:r>
      <w:r w:rsidR="0050321D">
        <w:rPr>
          <w:rFonts w:ascii="Times New Roman" w:hAnsi="Times New Roman" w:cs="Times New Roman"/>
          <w:sz w:val="24"/>
          <w:szCs w:val="24"/>
          <w:lang w:val="en-US"/>
        </w:rPr>
        <w:t>ne</w:t>
      </w:r>
      <w:r w:rsidR="007F2C40">
        <w:rPr>
          <w:rFonts w:ascii="Times New Roman" w:hAnsi="Times New Roman" w:cs="Times New Roman"/>
          <w:sz w:val="24"/>
          <w:szCs w:val="24"/>
          <w:lang w:val="en-US"/>
        </w:rPr>
        <w:t>ss</w:t>
      </w:r>
      <w:r w:rsidR="0050321D">
        <w:rPr>
          <w:rFonts w:ascii="Times New Roman" w:hAnsi="Times New Roman" w:cs="Times New Roman"/>
          <w:sz w:val="24"/>
          <w:szCs w:val="24"/>
          <w:lang w:val="en-US"/>
        </w:rPr>
        <w:t xml:space="preserve"> treatment strategies for IBD and strategies for prevention. </w:t>
      </w:r>
      <w:r w:rsidR="00342B1C">
        <w:rPr>
          <w:rFonts w:ascii="Times New Roman" w:hAnsi="Times New Roman" w:cs="Times New Roman"/>
          <w:sz w:val="24"/>
          <w:szCs w:val="24"/>
          <w:lang w:val="en-US"/>
        </w:rPr>
        <w:t xml:space="preserve"> </w:t>
      </w:r>
    </w:p>
    <w:p w:rsidR="005A7F63" w:rsidRPr="006778EB" w:rsidRDefault="002D749B" w:rsidP="00E5452A">
      <w:pPr>
        <w:spacing w:line="276" w:lineRule="auto"/>
        <w:jc w:val="both"/>
        <w:rPr>
          <w:rFonts w:ascii="Times New Roman" w:hAnsi="Times New Roman" w:cs="Times New Roman"/>
          <w:sz w:val="24"/>
          <w:u w:val="single"/>
        </w:rPr>
      </w:pPr>
      <w:r>
        <w:rPr>
          <w:rFonts w:ascii="Times New Roman" w:hAnsi="Times New Roman" w:cs="Times New Roman"/>
          <w:sz w:val="24"/>
          <w:u w:val="single"/>
        </w:rPr>
        <w:t>MUHC Rheumatology and affiliated clinics</w:t>
      </w:r>
    </w:p>
    <w:p w:rsidR="006778EB" w:rsidRPr="006778EB" w:rsidRDefault="005004EA" w:rsidP="00E5452A">
      <w:pPr>
        <w:spacing w:line="276" w:lineRule="auto"/>
        <w:jc w:val="both"/>
        <w:rPr>
          <w:rFonts w:ascii="Times New Roman" w:hAnsi="Times New Roman" w:cs="Times New Roman"/>
          <w:sz w:val="24"/>
        </w:rPr>
      </w:pPr>
      <w:r w:rsidRPr="005004EA">
        <w:rPr>
          <w:rFonts w:ascii="Times New Roman" w:hAnsi="Times New Roman" w:cs="Times New Roman"/>
          <w:sz w:val="24"/>
        </w:rPr>
        <w:t>Recruitment for RA patients</w:t>
      </w:r>
      <w:r w:rsidR="002D749B">
        <w:rPr>
          <w:rFonts w:ascii="Times New Roman" w:hAnsi="Times New Roman" w:cs="Times New Roman"/>
          <w:sz w:val="24"/>
        </w:rPr>
        <w:t>, followed by MUHC rheumatologists,</w:t>
      </w:r>
      <w:r w:rsidRPr="005004EA">
        <w:rPr>
          <w:rFonts w:ascii="Times New Roman" w:hAnsi="Times New Roman" w:cs="Times New Roman"/>
          <w:sz w:val="24"/>
        </w:rPr>
        <w:t xml:space="preserve"> will occur </w:t>
      </w:r>
      <w:r w:rsidR="002D749B">
        <w:rPr>
          <w:rFonts w:ascii="Times New Roman" w:hAnsi="Times New Roman" w:cs="Times New Roman"/>
          <w:sz w:val="24"/>
        </w:rPr>
        <w:t>in clinics at MUHC hospitals and affiliated,</w:t>
      </w:r>
      <w:r w:rsidRPr="005004EA">
        <w:rPr>
          <w:rFonts w:ascii="Times New Roman" w:hAnsi="Times New Roman" w:cs="Times New Roman"/>
          <w:sz w:val="24"/>
        </w:rPr>
        <w:t xml:space="preserve"> external clinics in the Montreal area, including the West Island. </w:t>
      </w:r>
    </w:p>
    <w:p w:rsidR="00B11B43" w:rsidRPr="009B5BDC" w:rsidRDefault="00B11B43" w:rsidP="00BD2D60">
      <w:pPr>
        <w:spacing w:after="120"/>
        <w:jc w:val="both"/>
        <w:rPr>
          <w:rFonts w:ascii="Times New Roman" w:hAnsi="Times New Roman" w:cs="Times New Roman"/>
          <w:sz w:val="24"/>
          <w:szCs w:val="24"/>
          <w:u w:val="single"/>
          <w:lang w:val="en-US"/>
        </w:rPr>
      </w:pPr>
      <w:r w:rsidRPr="009B5BDC">
        <w:rPr>
          <w:rFonts w:ascii="Times New Roman" w:hAnsi="Times New Roman" w:cs="Times New Roman"/>
          <w:sz w:val="24"/>
          <w:szCs w:val="24"/>
          <w:u w:val="single"/>
          <w:lang w:val="en-US"/>
        </w:rPr>
        <w:t>The Arthritis Program</w:t>
      </w:r>
      <w:r w:rsidR="00470FAF">
        <w:rPr>
          <w:rFonts w:ascii="Times New Roman" w:hAnsi="Times New Roman" w:cs="Times New Roman"/>
          <w:sz w:val="24"/>
          <w:szCs w:val="24"/>
          <w:u w:val="single"/>
          <w:lang w:val="en-US"/>
        </w:rPr>
        <w:t xml:space="preserve"> Research Group Inc.</w:t>
      </w:r>
      <w:r w:rsidRPr="009B5BDC">
        <w:rPr>
          <w:rFonts w:ascii="Times New Roman" w:hAnsi="Times New Roman" w:cs="Times New Roman"/>
          <w:sz w:val="24"/>
          <w:szCs w:val="24"/>
          <w:u w:val="single"/>
          <w:lang w:val="en-US"/>
        </w:rPr>
        <w:t xml:space="preserve"> </w:t>
      </w:r>
    </w:p>
    <w:p w:rsidR="0085143B" w:rsidRPr="004C625F" w:rsidRDefault="00BD2D60" w:rsidP="004C625F">
      <w:pPr>
        <w:spacing w:after="120"/>
        <w:jc w:val="both"/>
        <w:rPr>
          <w:rFonts w:ascii="Times New Roman" w:hAnsi="Times New Roman" w:cs="Times New Roman"/>
        </w:rPr>
      </w:pPr>
      <w:r>
        <w:rPr>
          <w:rFonts w:ascii="Times New Roman" w:hAnsi="Times New Roman" w:cs="Times New Roman"/>
          <w:sz w:val="24"/>
          <w:szCs w:val="24"/>
          <w:lang w:val="en-US"/>
        </w:rPr>
        <w:t xml:space="preserve">The </w:t>
      </w:r>
      <w:r w:rsidR="008D7BC1">
        <w:rPr>
          <w:rFonts w:ascii="Times New Roman" w:hAnsi="Times New Roman" w:cs="Times New Roman"/>
          <w:sz w:val="24"/>
          <w:szCs w:val="24"/>
          <w:lang w:val="en-US"/>
        </w:rPr>
        <w:t>Arthritis Program</w:t>
      </w:r>
      <w:r w:rsidR="00470FAF">
        <w:rPr>
          <w:rFonts w:ascii="Times New Roman" w:hAnsi="Times New Roman" w:cs="Times New Roman"/>
          <w:sz w:val="24"/>
          <w:szCs w:val="24"/>
          <w:lang w:val="en-US"/>
        </w:rPr>
        <w:t xml:space="preserve"> Research Group Inc.</w:t>
      </w:r>
      <w:r w:rsidR="008D7BC1">
        <w:rPr>
          <w:rFonts w:ascii="Times New Roman" w:hAnsi="Times New Roman" w:cs="Times New Roman"/>
          <w:sz w:val="24"/>
          <w:szCs w:val="24"/>
          <w:lang w:val="en-US"/>
        </w:rPr>
        <w:t xml:space="preserve"> at the </w:t>
      </w:r>
      <w:r>
        <w:rPr>
          <w:rFonts w:ascii="Times New Roman" w:hAnsi="Times New Roman" w:cs="Times New Roman"/>
          <w:sz w:val="24"/>
          <w:szCs w:val="24"/>
          <w:lang w:val="en-US"/>
        </w:rPr>
        <w:t xml:space="preserve">Southlake Regional Health Centre in Newmarket, Ontario, </w:t>
      </w:r>
      <w:r w:rsidR="00B11B43">
        <w:rPr>
          <w:rFonts w:ascii="Times New Roman" w:hAnsi="Times New Roman" w:cs="Times New Roman"/>
          <w:sz w:val="24"/>
          <w:szCs w:val="24"/>
          <w:lang w:val="en-US"/>
        </w:rPr>
        <w:t>is an award winning program committed to delivering the highest standards in arthritis care</w:t>
      </w:r>
      <w:r>
        <w:rPr>
          <w:rFonts w:ascii="Times New Roman" w:hAnsi="Times New Roman" w:cs="Times New Roman"/>
          <w:sz w:val="24"/>
          <w:szCs w:val="24"/>
          <w:lang w:val="en-US"/>
        </w:rPr>
        <w:t xml:space="preserve">.  </w:t>
      </w:r>
    </w:p>
    <w:p w:rsidR="0085143B" w:rsidRPr="004C625F" w:rsidRDefault="00487613">
      <w:pPr>
        <w:rPr>
          <w:rFonts w:ascii="Times New Roman" w:hAnsi="Times New Roman" w:cs="Times New Roman"/>
          <w:sz w:val="24"/>
          <w:u w:val="single"/>
        </w:rPr>
      </w:pPr>
      <w:r w:rsidRPr="00323846">
        <w:rPr>
          <w:rFonts w:ascii="Times New Roman" w:hAnsi="Times New Roman" w:cs="Times New Roman"/>
          <w:sz w:val="24"/>
          <w:u w:val="single"/>
        </w:rPr>
        <w:t>Manitoba Early Arthritis Cohort</w:t>
      </w:r>
    </w:p>
    <w:p w:rsidR="009243BE" w:rsidRPr="00323846" w:rsidRDefault="009243BE" w:rsidP="004C625F">
      <w:pPr>
        <w:spacing w:after="120"/>
        <w:jc w:val="both"/>
        <w:rPr>
          <w:rFonts w:ascii="Times New Roman" w:hAnsi="Times New Roman" w:cs="Times New Roman"/>
          <w:sz w:val="24"/>
          <w:szCs w:val="24"/>
        </w:rPr>
      </w:pPr>
      <w:r>
        <w:rPr>
          <w:rFonts w:ascii="Times New Roman" w:hAnsi="Times New Roman" w:cs="Times New Roman"/>
          <w:sz w:val="24"/>
          <w:szCs w:val="24"/>
          <w:lang w:val="en-US"/>
        </w:rPr>
        <w:t>Manitoba Early Arthritis Cohort is a clinical site of the CATCH network, a</w:t>
      </w:r>
      <w:r w:rsidRPr="00C76ED7">
        <w:rPr>
          <w:rFonts w:ascii="Times New Roman" w:hAnsi="Times New Roman" w:cs="Times New Roman"/>
          <w:sz w:val="24"/>
          <w:szCs w:val="24"/>
          <w:lang w:val="en-US"/>
        </w:rPr>
        <w:t xml:space="preserve"> successful multicenter ongoing observational cohort study of patients with early RA (ERA) recruiting 300 patients per year and who are followed according to a standardized protocol. </w:t>
      </w:r>
      <w:r>
        <w:rPr>
          <w:rFonts w:ascii="Times New Roman" w:hAnsi="Times New Roman" w:cs="Times New Roman"/>
          <w:sz w:val="24"/>
          <w:szCs w:val="24"/>
          <w:lang w:val="en-US"/>
        </w:rPr>
        <w:t>P</w:t>
      </w:r>
      <w:r w:rsidRPr="00C76ED7">
        <w:rPr>
          <w:rFonts w:ascii="Times New Roman" w:hAnsi="Times New Roman" w:cs="Times New Roman"/>
          <w:sz w:val="24"/>
          <w:szCs w:val="24"/>
          <w:lang w:val="en-US"/>
        </w:rPr>
        <w:t xml:space="preserve">articipants </w:t>
      </w:r>
      <w:r>
        <w:rPr>
          <w:rFonts w:ascii="Times New Roman" w:hAnsi="Times New Roman" w:cs="Times New Roman"/>
          <w:sz w:val="24"/>
          <w:szCs w:val="24"/>
          <w:lang w:val="en-US"/>
        </w:rPr>
        <w:t>are followed and investigators</w:t>
      </w:r>
      <w:r w:rsidRPr="00C76ED7">
        <w:rPr>
          <w:rFonts w:ascii="Times New Roman" w:hAnsi="Times New Roman" w:cs="Times New Roman"/>
          <w:noProof/>
          <w:sz w:val="24"/>
          <w:szCs w:val="24"/>
          <w:lang w:val="en-US"/>
        </w:rPr>
        <w:t xml:space="preserve"> </w:t>
      </w:r>
      <w:r w:rsidRPr="00C76ED7">
        <w:rPr>
          <w:rFonts w:ascii="Times New Roman" w:hAnsi="Times New Roman" w:cs="Times New Roman"/>
          <w:sz w:val="24"/>
          <w:szCs w:val="24"/>
          <w:lang w:val="en-US"/>
        </w:rPr>
        <w:t>collect information about health status, treatments, joint swelling, and overall disease progress.</w:t>
      </w:r>
    </w:p>
    <w:p w:rsidR="00632072" w:rsidRDefault="00487613">
      <w:pPr>
        <w:rPr>
          <w:rFonts w:ascii="Times New Roman" w:hAnsi="Times New Roman" w:cs="Times New Roman"/>
          <w:sz w:val="24"/>
        </w:rPr>
      </w:pPr>
      <w:r w:rsidRPr="00323846">
        <w:rPr>
          <w:rFonts w:ascii="Times New Roman" w:hAnsi="Times New Roman" w:cs="Times New Roman"/>
          <w:sz w:val="24"/>
          <w:u w:val="single"/>
        </w:rPr>
        <w:t xml:space="preserve">The </w:t>
      </w:r>
      <w:proofErr w:type="spellStart"/>
      <w:r w:rsidRPr="00323846">
        <w:rPr>
          <w:rFonts w:ascii="Times New Roman" w:hAnsi="Times New Roman" w:cs="Times New Roman"/>
          <w:sz w:val="24"/>
          <w:u w:val="single"/>
        </w:rPr>
        <w:t>Spondyloarthritis</w:t>
      </w:r>
      <w:proofErr w:type="spellEnd"/>
      <w:r w:rsidRPr="00323846">
        <w:rPr>
          <w:rFonts w:ascii="Times New Roman" w:hAnsi="Times New Roman" w:cs="Times New Roman"/>
          <w:sz w:val="24"/>
          <w:u w:val="single"/>
        </w:rPr>
        <w:t xml:space="preserve"> Research Consortium of Canada (SPARCC)</w:t>
      </w:r>
      <w:r w:rsidRPr="00323846">
        <w:rPr>
          <w:rFonts w:ascii="Times New Roman" w:hAnsi="Times New Roman" w:cs="Times New Roman"/>
          <w:sz w:val="24"/>
        </w:rPr>
        <w:t xml:space="preserve"> </w:t>
      </w:r>
    </w:p>
    <w:p w:rsidR="001C66DE" w:rsidRPr="00632072" w:rsidRDefault="00632072">
      <w:pPr>
        <w:rPr>
          <w:rFonts w:ascii="Times New Roman" w:hAnsi="Times New Roman" w:cs="Times New Roman"/>
          <w:highlight w:val="green"/>
        </w:rPr>
        <w:sectPr w:rsidR="001C66DE" w:rsidRPr="00632072" w:rsidSect="001C66DE">
          <w:pgSz w:w="12240" w:h="15840"/>
          <w:pgMar w:top="1440" w:right="1440" w:bottom="1440" w:left="1440" w:header="708" w:footer="708" w:gutter="0"/>
          <w:cols w:space="708"/>
          <w:docGrid w:linePitch="360"/>
        </w:sectPr>
      </w:pPr>
      <w:r>
        <w:rPr>
          <w:rFonts w:ascii="Times New Roman" w:hAnsi="Times New Roman" w:cs="Times New Roman"/>
          <w:sz w:val="24"/>
        </w:rPr>
        <w:t xml:space="preserve">SPARCC </w:t>
      </w:r>
      <w:r w:rsidR="00487613" w:rsidRPr="00323846">
        <w:rPr>
          <w:rFonts w:ascii="Times New Roman" w:hAnsi="Times New Roman" w:cs="Times New Roman"/>
          <w:sz w:val="24"/>
        </w:rPr>
        <w:t xml:space="preserve">is a trans-disciplinary national research program </w:t>
      </w:r>
      <w:r>
        <w:rPr>
          <w:rFonts w:ascii="Times New Roman" w:hAnsi="Times New Roman" w:cs="Times New Roman"/>
          <w:sz w:val="24"/>
        </w:rPr>
        <w:t xml:space="preserve">aiming to </w:t>
      </w:r>
      <w:r w:rsidR="00487613" w:rsidRPr="00323846">
        <w:rPr>
          <w:rFonts w:ascii="Times New Roman" w:hAnsi="Times New Roman" w:cs="Times New Roman"/>
          <w:sz w:val="24"/>
        </w:rPr>
        <w:t xml:space="preserve">improve the health of </w:t>
      </w:r>
      <w:proofErr w:type="spellStart"/>
      <w:r w:rsidR="00487613" w:rsidRPr="00323846">
        <w:rPr>
          <w:rFonts w:ascii="Times New Roman" w:hAnsi="Times New Roman" w:cs="Times New Roman"/>
          <w:sz w:val="24"/>
        </w:rPr>
        <w:t>SpA</w:t>
      </w:r>
      <w:proofErr w:type="spellEnd"/>
      <w:r w:rsidR="00487613" w:rsidRPr="00323846">
        <w:rPr>
          <w:rFonts w:ascii="Times New Roman" w:hAnsi="Times New Roman" w:cs="Times New Roman"/>
          <w:sz w:val="24"/>
        </w:rPr>
        <w:t xml:space="preserve"> patients in Canada by better defining, diagnosing, and predicting the course of AS and </w:t>
      </w:r>
      <w:proofErr w:type="spellStart"/>
      <w:r w:rsidR="00487613" w:rsidRPr="00323846">
        <w:rPr>
          <w:rFonts w:ascii="Times New Roman" w:hAnsi="Times New Roman" w:cs="Times New Roman"/>
          <w:sz w:val="24"/>
        </w:rPr>
        <w:t>PsA.</w:t>
      </w:r>
      <w:proofErr w:type="spellEnd"/>
      <w:r w:rsidR="00487613" w:rsidRPr="00323846">
        <w:rPr>
          <w:rFonts w:ascii="Times New Roman" w:hAnsi="Times New Roman" w:cs="Times New Roman"/>
          <w:sz w:val="24"/>
        </w:rPr>
        <w:t xml:space="preserve"> </w:t>
      </w:r>
      <w:r w:rsidR="005A7F63" w:rsidRPr="00632072">
        <w:rPr>
          <w:rFonts w:ascii="Times New Roman" w:hAnsi="Times New Roman" w:cs="Times New Roman"/>
          <w:highlight w:val="green"/>
        </w:rPr>
        <w:br w:type="page"/>
      </w:r>
    </w:p>
    <w:p w:rsidR="00B90393" w:rsidRPr="00DA2CAB" w:rsidRDefault="00B90393" w:rsidP="00B90393">
      <w:pPr>
        <w:spacing w:line="276" w:lineRule="auto"/>
        <w:jc w:val="both"/>
        <w:rPr>
          <w:rFonts w:ascii="Times New Roman" w:hAnsi="Times New Roman" w:cs="Times New Roman"/>
          <w:b/>
        </w:rPr>
      </w:pPr>
      <w:r w:rsidRPr="00DA2CAB">
        <w:rPr>
          <w:rFonts w:ascii="Times New Roman" w:hAnsi="Times New Roman" w:cs="Times New Roman"/>
          <w:b/>
        </w:rPr>
        <w:lastRenderedPageBreak/>
        <w:t xml:space="preserve">APPENDIX </w:t>
      </w:r>
      <w:r w:rsidR="00E5452A">
        <w:rPr>
          <w:rFonts w:ascii="Times New Roman" w:hAnsi="Times New Roman" w:cs="Times New Roman"/>
          <w:b/>
        </w:rPr>
        <w:t>B</w:t>
      </w:r>
      <w:r w:rsidRPr="00DA2CAB">
        <w:rPr>
          <w:rFonts w:ascii="Times New Roman" w:hAnsi="Times New Roman" w:cs="Times New Roman"/>
          <w:b/>
        </w:rPr>
        <w:t xml:space="preserve"> – </w:t>
      </w:r>
      <w:r w:rsidR="001E7BE6" w:rsidRPr="00DA2CAB">
        <w:rPr>
          <w:rFonts w:ascii="Times New Roman" w:hAnsi="Times New Roman" w:cs="Times New Roman"/>
          <w:b/>
        </w:rPr>
        <w:t>D</w:t>
      </w:r>
      <w:r w:rsidR="00B10EA8" w:rsidRPr="00DA2CAB">
        <w:rPr>
          <w:rFonts w:ascii="Times New Roman" w:hAnsi="Times New Roman" w:cs="Times New Roman"/>
          <w:b/>
        </w:rPr>
        <w:t>ata collected</w:t>
      </w:r>
      <w:r w:rsidR="008612BF" w:rsidRPr="00DA2CAB">
        <w:rPr>
          <w:rFonts w:ascii="Times New Roman" w:hAnsi="Times New Roman" w:cs="Times New Roman"/>
          <w:b/>
        </w:rPr>
        <w:t xml:space="preserve"> and study data collection schedule</w:t>
      </w:r>
      <w:r w:rsidR="00DA2CAB" w:rsidRPr="00DA2CAB">
        <w:rPr>
          <w:rFonts w:ascii="Times New Roman" w:hAnsi="Times New Roman" w:cs="Times New Roman"/>
          <w:b/>
        </w:rPr>
        <w:t xml:space="preserve"> for clinical cohorts.</w:t>
      </w:r>
    </w:p>
    <w:tbl>
      <w:tblPr>
        <w:tblStyle w:val="TableGrid"/>
        <w:tblW w:w="5001" w:type="pct"/>
        <w:tblLook w:val="04A0" w:firstRow="1" w:lastRow="0" w:firstColumn="1" w:lastColumn="0" w:noHBand="0" w:noVBand="1"/>
      </w:tblPr>
      <w:tblGrid>
        <w:gridCol w:w="1517"/>
        <w:gridCol w:w="2765"/>
        <w:gridCol w:w="1416"/>
        <w:gridCol w:w="1272"/>
        <w:gridCol w:w="861"/>
        <w:gridCol w:w="850"/>
        <w:gridCol w:w="850"/>
        <w:gridCol w:w="850"/>
        <w:gridCol w:w="850"/>
        <w:gridCol w:w="850"/>
        <w:gridCol w:w="850"/>
        <w:gridCol w:w="850"/>
        <w:gridCol w:w="850"/>
      </w:tblGrid>
      <w:tr w:rsidR="00C46CDF" w:rsidRPr="00B2660D" w:rsidTr="00C46CDF">
        <w:trPr>
          <w:gridAfter w:val="9"/>
          <w:wAfter w:w="2878" w:type="pct"/>
          <w:trHeight w:val="300"/>
        </w:trPr>
        <w:tc>
          <w:tcPr>
            <w:tcW w:w="536" w:type="pct"/>
            <w:vMerge w:val="restar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Domain</w:t>
            </w:r>
          </w:p>
        </w:tc>
        <w:tc>
          <w:tcPr>
            <w:tcW w:w="580" w:type="pct"/>
            <w:vMerge w:val="restar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Variable</w:t>
            </w:r>
          </w:p>
        </w:tc>
        <w:tc>
          <w:tcPr>
            <w:tcW w:w="502" w:type="pct"/>
            <w:vMerge w:val="restart"/>
          </w:tcPr>
          <w:p w:rsidR="00A1258A" w:rsidRPr="00B2660D" w:rsidRDefault="00A1258A" w:rsidP="00A1258A">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Source</w:t>
            </w:r>
          </w:p>
        </w:tc>
        <w:tc>
          <w:tcPr>
            <w:tcW w:w="504"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Assessments </w:t>
            </w:r>
          </w:p>
        </w:tc>
      </w:tr>
      <w:tr w:rsidR="00C46CDF" w:rsidRPr="00B2660D" w:rsidTr="00C46CDF">
        <w:trPr>
          <w:gridAfter w:val="8"/>
          <w:wAfter w:w="2457" w:type="pct"/>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02" w:type="pct"/>
            <w:vMerge/>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04" w:type="pct"/>
            <w:hideMark/>
          </w:tcPr>
          <w:p w:rsidR="00A1258A" w:rsidRPr="00B2660D" w:rsidRDefault="00A1258A" w:rsidP="001C66D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Baseline </w:t>
            </w:r>
          </w:p>
        </w:tc>
        <w:tc>
          <w:tcPr>
            <w:tcW w:w="421"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Follow-up</w:t>
            </w:r>
          </w:p>
        </w:tc>
      </w:tr>
      <w:tr w:rsidR="00C46CDF" w:rsidRPr="00B2660D" w:rsidTr="00C46CDF">
        <w:trPr>
          <w:trHeight w:val="300"/>
        </w:trPr>
        <w:tc>
          <w:tcPr>
            <w:tcW w:w="536"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502" w:type="pct"/>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04"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0 months</w:t>
            </w:r>
          </w:p>
        </w:tc>
        <w:tc>
          <w:tcPr>
            <w:tcW w:w="421"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3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6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9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12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18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24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36 months</w:t>
            </w:r>
          </w:p>
        </w:tc>
        <w:tc>
          <w:tcPr>
            <w:tcW w:w="306"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48 months </w:t>
            </w:r>
          </w:p>
        </w:tc>
        <w:tc>
          <w:tcPr>
            <w:tcW w:w="313" w:type="pct"/>
            <w:hideMark/>
          </w:tcPr>
          <w:p w:rsidR="00A1258A" w:rsidRPr="00B2660D" w:rsidRDefault="00A1258A" w:rsidP="001C66DE">
            <w:pPr>
              <w:jc w:val="cente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54 months</w:t>
            </w:r>
          </w:p>
        </w:tc>
      </w:tr>
      <w:tr w:rsidR="00C46CDF" w:rsidRPr="00B2660D" w:rsidTr="00C46CDF">
        <w:trPr>
          <w:trHeight w:val="300"/>
        </w:trPr>
        <w:tc>
          <w:tcPr>
            <w:tcW w:w="536" w:type="pct"/>
            <w:vMerge w:val="restart"/>
            <w:hideMark/>
          </w:tcPr>
          <w:p w:rsidR="00A1258A" w:rsidRPr="00B2660D" w:rsidRDefault="00A1258A" w:rsidP="001C66D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Demographics</w:t>
            </w: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Patient's ID</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12624D"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DOB</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13"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Sex</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sz w:val="20"/>
                <w:szCs w:val="20"/>
                <w:lang w:eastAsia="en-CA"/>
              </w:rPr>
            </w:pPr>
          </w:p>
        </w:tc>
        <w:tc>
          <w:tcPr>
            <w:tcW w:w="313"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Education</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rPr>
                <w:rFonts w:ascii="Times New Roman" w:eastAsia="Times New Roman" w:hAnsi="Times New Roman" w:cs="Times New Roman"/>
                <w:sz w:val="20"/>
                <w:szCs w:val="20"/>
                <w:lang w:eastAsia="en-CA"/>
              </w:rPr>
            </w:pPr>
          </w:p>
        </w:tc>
        <w:tc>
          <w:tcPr>
            <w:tcW w:w="306" w:type="pct"/>
            <w:hideMark/>
          </w:tcPr>
          <w:p w:rsidR="00A1258A" w:rsidRPr="00B2660D" w:rsidRDefault="00A1258A" w:rsidP="00C83B12">
            <w:pPr>
              <w:rPr>
                <w:rFonts w:ascii="Times New Roman" w:eastAsia="Times New Roman" w:hAnsi="Times New Roman" w:cs="Times New Roman"/>
                <w:sz w:val="20"/>
                <w:szCs w:val="20"/>
                <w:lang w:eastAsia="en-CA"/>
              </w:rPr>
            </w:pPr>
          </w:p>
        </w:tc>
        <w:tc>
          <w:tcPr>
            <w:tcW w:w="306" w:type="pct"/>
            <w:hideMark/>
          </w:tcPr>
          <w:p w:rsidR="00A1258A" w:rsidRPr="00B2660D" w:rsidRDefault="00C553F9" w:rsidP="000C111C">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C83B12">
            <w:pPr>
              <w:rPr>
                <w:rFonts w:ascii="Times New Roman" w:eastAsia="Times New Roman" w:hAnsi="Times New Roman" w:cs="Times New Roman"/>
                <w:sz w:val="20"/>
                <w:szCs w:val="20"/>
                <w:lang w:eastAsia="en-CA"/>
              </w:rPr>
            </w:pPr>
          </w:p>
        </w:tc>
        <w:tc>
          <w:tcPr>
            <w:tcW w:w="306" w:type="pct"/>
            <w:hideMark/>
          </w:tcPr>
          <w:p w:rsidR="00A1258A" w:rsidRPr="00B2660D" w:rsidRDefault="00C553F9" w:rsidP="00B2660D">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C83B12">
            <w:pPr>
              <w:rPr>
                <w:rFonts w:ascii="Times New Roman" w:eastAsia="Times New Roman" w:hAnsi="Times New Roman" w:cs="Times New Roman"/>
                <w:sz w:val="20"/>
                <w:szCs w:val="20"/>
                <w:lang w:eastAsia="en-CA"/>
              </w:rPr>
            </w:pPr>
          </w:p>
        </w:tc>
        <w:tc>
          <w:tcPr>
            <w:tcW w:w="306" w:type="pct"/>
            <w:hideMark/>
          </w:tcPr>
          <w:p w:rsidR="00A1258A" w:rsidRPr="00B2660D" w:rsidRDefault="00C553F9" w:rsidP="000C111C">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13" w:type="pct"/>
            <w:hideMark/>
          </w:tcPr>
          <w:p w:rsidR="00A1258A" w:rsidRPr="00B2660D" w:rsidRDefault="00A1258A" w:rsidP="00C83B12">
            <w:pP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Race/Ethnicity</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13"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hideMark/>
          </w:tcPr>
          <w:p w:rsidR="00A1258A" w:rsidRPr="00B2660D" w:rsidRDefault="00A1258A" w:rsidP="001C66DE">
            <w:pPr>
              <w:rPr>
                <w:rFonts w:ascii="Times New Roman" w:eastAsia="Times New Roman" w:hAnsi="Times New Roman" w:cs="Times New Roman"/>
                <w:b/>
                <w:bCs/>
                <w:sz w:val="20"/>
                <w:szCs w:val="20"/>
                <w:lang w:eastAsia="en-CA"/>
              </w:rPr>
            </w:pPr>
            <w:r w:rsidRPr="00B2660D">
              <w:rPr>
                <w:rFonts w:ascii="Times New Roman" w:eastAsia="Times New Roman" w:hAnsi="Times New Roman" w:cs="Times New Roman"/>
                <w:b/>
                <w:bCs/>
                <w:sz w:val="20"/>
                <w:szCs w:val="20"/>
                <w:lang w:eastAsia="en-CA"/>
              </w:rPr>
              <w:t>BMI</w:t>
            </w: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Body Mass Index</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13" w:type="pct"/>
            <w:hideMark/>
          </w:tcPr>
          <w:p w:rsidR="00A1258A" w:rsidRPr="00B2660D" w:rsidRDefault="00A1258A" w:rsidP="00C83B12">
            <w:pPr>
              <w:jc w:val="center"/>
              <w:rPr>
                <w:rFonts w:ascii="Times New Roman" w:eastAsia="Times New Roman" w:hAnsi="Times New Roman" w:cs="Times New Roman"/>
                <w:color w:val="000000"/>
                <w:sz w:val="20"/>
                <w:szCs w:val="20"/>
                <w:lang w:eastAsia="en-CA"/>
              </w:rPr>
            </w:pPr>
          </w:p>
        </w:tc>
      </w:tr>
      <w:tr w:rsidR="000219B4" w:rsidRPr="00DC10DC" w:rsidTr="00DC10DC">
        <w:trPr>
          <w:trHeight w:val="300"/>
        </w:trPr>
        <w:tc>
          <w:tcPr>
            <w:tcW w:w="536" w:type="pct"/>
            <w:hideMark/>
          </w:tcPr>
          <w:p w:rsidR="000219B4" w:rsidRPr="000219B4" w:rsidRDefault="000219B4" w:rsidP="001C66DE">
            <w:pPr>
              <w:rPr>
                <w:rFonts w:ascii="Times New Roman" w:eastAsia="Times New Roman" w:hAnsi="Times New Roman" w:cs="Times New Roman"/>
                <w:b/>
                <w:bCs/>
                <w:sz w:val="20"/>
                <w:szCs w:val="20"/>
                <w:highlight w:val="yellow"/>
                <w:lang w:eastAsia="en-CA"/>
              </w:rPr>
            </w:pPr>
          </w:p>
        </w:tc>
        <w:tc>
          <w:tcPr>
            <w:tcW w:w="580" w:type="pct"/>
            <w:shd w:val="clear" w:color="auto" w:fill="auto"/>
            <w:hideMark/>
          </w:tcPr>
          <w:p w:rsidR="000219B4" w:rsidRPr="00DC10DC" w:rsidRDefault="000219B4" w:rsidP="001C66DE">
            <w:pPr>
              <w:rPr>
                <w:rFonts w:ascii="Times New Roman" w:eastAsia="Times New Roman" w:hAnsi="Times New Roman" w:cs="Times New Roman"/>
                <w:color w:val="000000"/>
                <w:sz w:val="20"/>
                <w:szCs w:val="20"/>
                <w:lang w:eastAsia="en-CA"/>
              </w:rPr>
            </w:pPr>
            <w:r w:rsidRPr="00DC10DC">
              <w:rPr>
                <w:rFonts w:ascii="Times New Roman" w:eastAsia="Times New Roman" w:hAnsi="Times New Roman" w:cs="Times New Roman"/>
                <w:color w:val="000000"/>
                <w:sz w:val="20"/>
                <w:szCs w:val="20"/>
                <w:lang w:eastAsia="en-CA"/>
              </w:rPr>
              <w:t>Weight</w:t>
            </w:r>
          </w:p>
        </w:tc>
        <w:tc>
          <w:tcPr>
            <w:tcW w:w="502" w:type="pct"/>
            <w:shd w:val="clear" w:color="auto" w:fill="auto"/>
          </w:tcPr>
          <w:p w:rsidR="000219B4" w:rsidRPr="00DC10DC" w:rsidRDefault="000219B4" w:rsidP="00A1258A">
            <w:pPr>
              <w:rPr>
                <w:rFonts w:ascii="Times New Roman" w:eastAsia="Times New Roman" w:hAnsi="Times New Roman" w:cs="Times New Roman"/>
                <w:color w:val="000000"/>
                <w:sz w:val="20"/>
                <w:szCs w:val="20"/>
                <w:lang w:eastAsia="en-CA"/>
              </w:rPr>
            </w:pPr>
          </w:p>
        </w:tc>
        <w:tc>
          <w:tcPr>
            <w:tcW w:w="504" w:type="pct"/>
            <w:shd w:val="clear" w:color="auto" w:fill="auto"/>
            <w:hideMark/>
          </w:tcPr>
          <w:p w:rsidR="000219B4" w:rsidRPr="00DC10DC" w:rsidRDefault="000219B4" w:rsidP="001C66DE">
            <w:pPr>
              <w:jc w:val="center"/>
              <w:rPr>
                <w:rFonts w:ascii="Times New Roman" w:eastAsia="Times New Roman" w:hAnsi="Times New Roman" w:cs="Times New Roman"/>
                <w:color w:val="000000"/>
                <w:sz w:val="20"/>
                <w:szCs w:val="20"/>
                <w:lang w:eastAsia="en-CA"/>
              </w:rPr>
            </w:pPr>
          </w:p>
        </w:tc>
        <w:tc>
          <w:tcPr>
            <w:tcW w:w="421" w:type="pct"/>
            <w:shd w:val="clear" w:color="auto" w:fill="auto"/>
            <w:hideMark/>
          </w:tcPr>
          <w:p w:rsidR="000219B4" w:rsidRPr="00DC10DC" w:rsidRDefault="000219B4" w:rsidP="00C83B12">
            <w:pPr>
              <w:jc w:val="center"/>
              <w:rPr>
                <w:rFonts w:ascii="Times New Roman" w:eastAsia="Times New Roman" w:hAnsi="Times New Roman" w:cs="Times New Roman"/>
                <w:color w:val="000000"/>
                <w:sz w:val="20"/>
                <w:szCs w:val="20"/>
                <w:lang w:eastAsia="en-CA"/>
              </w:rPr>
            </w:pPr>
          </w:p>
        </w:tc>
        <w:tc>
          <w:tcPr>
            <w:tcW w:w="306" w:type="pct"/>
            <w:shd w:val="clear" w:color="auto" w:fill="auto"/>
            <w:hideMark/>
          </w:tcPr>
          <w:p w:rsidR="000219B4" w:rsidRPr="00DC10DC" w:rsidRDefault="000219B4" w:rsidP="00C83B12">
            <w:pPr>
              <w:jc w:val="center"/>
              <w:rPr>
                <w:rFonts w:ascii="Times New Roman" w:eastAsia="Times New Roman" w:hAnsi="Times New Roman" w:cs="Times New Roman"/>
                <w:color w:val="000000"/>
                <w:sz w:val="20"/>
                <w:szCs w:val="20"/>
                <w:lang w:eastAsia="en-CA"/>
              </w:rPr>
            </w:pPr>
          </w:p>
        </w:tc>
        <w:tc>
          <w:tcPr>
            <w:tcW w:w="306" w:type="pct"/>
            <w:shd w:val="clear" w:color="auto" w:fill="auto"/>
            <w:hideMark/>
          </w:tcPr>
          <w:p w:rsidR="000219B4" w:rsidRPr="00DC10DC" w:rsidRDefault="000219B4" w:rsidP="00C83B12">
            <w:pPr>
              <w:jc w:val="center"/>
              <w:rPr>
                <w:rFonts w:ascii="Times New Roman" w:eastAsia="Times New Roman" w:hAnsi="Times New Roman" w:cs="Times New Roman"/>
                <w:color w:val="000000"/>
                <w:sz w:val="20"/>
                <w:szCs w:val="20"/>
                <w:lang w:eastAsia="en-CA"/>
              </w:rPr>
            </w:pPr>
          </w:p>
        </w:tc>
        <w:tc>
          <w:tcPr>
            <w:tcW w:w="306" w:type="pct"/>
            <w:shd w:val="clear" w:color="auto" w:fill="auto"/>
            <w:hideMark/>
          </w:tcPr>
          <w:p w:rsidR="000219B4" w:rsidRPr="00DC10DC" w:rsidRDefault="000219B4" w:rsidP="00B2660D">
            <w:pPr>
              <w:jc w:val="center"/>
              <w:rPr>
                <w:rFonts w:ascii="Times New Roman" w:eastAsia="Times New Roman" w:hAnsi="Times New Roman" w:cs="Times New Roman"/>
                <w:color w:val="000000"/>
                <w:sz w:val="20"/>
                <w:szCs w:val="20"/>
                <w:lang w:eastAsia="en-CA"/>
              </w:rPr>
            </w:pPr>
            <w:r w:rsidRPr="00DC10DC">
              <w:rPr>
                <w:rFonts w:ascii="Times New Roman" w:eastAsia="Times New Roman" w:hAnsi="Times New Roman" w:cs="Times New Roman"/>
                <w:color w:val="000000"/>
                <w:sz w:val="20"/>
                <w:szCs w:val="20"/>
                <w:lang w:eastAsia="en-CA"/>
              </w:rPr>
              <w:t>X</w:t>
            </w:r>
          </w:p>
        </w:tc>
        <w:tc>
          <w:tcPr>
            <w:tcW w:w="306" w:type="pct"/>
            <w:shd w:val="clear" w:color="auto" w:fill="auto"/>
            <w:hideMark/>
          </w:tcPr>
          <w:p w:rsidR="000219B4" w:rsidRPr="00DC10DC" w:rsidRDefault="000219B4" w:rsidP="00B2660D">
            <w:pPr>
              <w:jc w:val="center"/>
              <w:rPr>
                <w:rFonts w:ascii="Times New Roman" w:eastAsia="Times New Roman" w:hAnsi="Times New Roman" w:cs="Times New Roman"/>
                <w:color w:val="000000"/>
                <w:sz w:val="20"/>
                <w:szCs w:val="20"/>
                <w:lang w:eastAsia="en-CA"/>
              </w:rPr>
            </w:pPr>
          </w:p>
        </w:tc>
        <w:tc>
          <w:tcPr>
            <w:tcW w:w="306" w:type="pct"/>
            <w:shd w:val="clear" w:color="auto" w:fill="auto"/>
            <w:hideMark/>
          </w:tcPr>
          <w:p w:rsidR="000219B4" w:rsidRPr="00DC10DC" w:rsidRDefault="000219B4" w:rsidP="00C83B12">
            <w:pPr>
              <w:jc w:val="center"/>
              <w:rPr>
                <w:rFonts w:ascii="Times New Roman" w:eastAsia="Times New Roman" w:hAnsi="Times New Roman" w:cs="Times New Roman"/>
                <w:color w:val="000000"/>
                <w:sz w:val="20"/>
                <w:szCs w:val="20"/>
                <w:lang w:eastAsia="en-CA"/>
              </w:rPr>
            </w:pPr>
            <w:r w:rsidRPr="00DC10DC">
              <w:rPr>
                <w:rFonts w:ascii="Times New Roman" w:eastAsia="Times New Roman" w:hAnsi="Times New Roman" w:cs="Times New Roman"/>
                <w:color w:val="000000"/>
                <w:sz w:val="20"/>
                <w:szCs w:val="20"/>
                <w:lang w:eastAsia="en-CA"/>
              </w:rPr>
              <w:t>X</w:t>
            </w:r>
          </w:p>
        </w:tc>
        <w:tc>
          <w:tcPr>
            <w:tcW w:w="306" w:type="pct"/>
            <w:shd w:val="clear" w:color="auto" w:fill="auto"/>
            <w:hideMark/>
          </w:tcPr>
          <w:p w:rsidR="000219B4" w:rsidRPr="00DC10DC" w:rsidRDefault="000219B4" w:rsidP="00C83B12">
            <w:pPr>
              <w:jc w:val="center"/>
              <w:rPr>
                <w:rFonts w:ascii="Times New Roman" w:eastAsia="Times New Roman" w:hAnsi="Times New Roman" w:cs="Times New Roman"/>
                <w:color w:val="000000"/>
                <w:sz w:val="20"/>
                <w:szCs w:val="20"/>
                <w:lang w:eastAsia="en-CA"/>
              </w:rPr>
            </w:pPr>
          </w:p>
        </w:tc>
        <w:tc>
          <w:tcPr>
            <w:tcW w:w="306" w:type="pct"/>
            <w:shd w:val="clear" w:color="auto" w:fill="auto"/>
            <w:hideMark/>
          </w:tcPr>
          <w:p w:rsidR="000219B4" w:rsidRPr="00DC10DC" w:rsidRDefault="000219B4" w:rsidP="00B2660D">
            <w:pPr>
              <w:jc w:val="center"/>
              <w:rPr>
                <w:rFonts w:ascii="Times New Roman" w:eastAsia="Times New Roman" w:hAnsi="Times New Roman" w:cs="Times New Roman"/>
                <w:color w:val="000000"/>
                <w:sz w:val="20"/>
                <w:szCs w:val="20"/>
                <w:lang w:eastAsia="en-CA"/>
              </w:rPr>
            </w:pPr>
            <w:r w:rsidRPr="00DC10DC">
              <w:rPr>
                <w:rFonts w:ascii="Times New Roman" w:eastAsia="Times New Roman" w:hAnsi="Times New Roman" w:cs="Times New Roman"/>
                <w:color w:val="000000"/>
                <w:sz w:val="20"/>
                <w:szCs w:val="20"/>
                <w:lang w:eastAsia="en-CA"/>
              </w:rPr>
              <w:t>X</w:t>
            </w:r>
          </w:p>
        </w:tc>
        <w:tc>
          <w:tcPr>
            <w:tcW w:w="313" w:type="pct"/>
            <w:shd w:val="clear" w:color="auto" w:fill="auto"/>
            <w:hideMark/>
          </w:tcPr>
          <w:p w:rsidR="000219B4" w:rsidRPr="00DC10DC" w:rsidRDefault="000219B4" w:rsidP="00C83B12">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val="restart"/>
            <w:hideMark/>
          </w:tcPr>
          <w:p w:rsidR="00A1258A" w:rsidRPr="00B2660D" w:rsidRDefault="00A1258A" w:rsidP="001C66D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Smoking</w:t>
            </w: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xml:space="preserve">Smoking </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Cigarette quantity</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Years of smoking</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B2660D">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B2660D">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B2660D">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val="restart"/>
            <w:hideMark/>
          </w:tcPr>
          <w:p w:rsidR="00A1258A" w:rsidRPr="00B2660D" w:rsidRDefault="00A1258A" w:rsidP="001C66D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Major Comorbidities</w:t>
            </w: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Congestive heart failure</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1C66DE">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1C66D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Diabetes</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1C66D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B2660D">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B2660D">
            <w:pPr>
              <w:jc w:val="center"/>
              <w:rPr>
                <w:rFonts w:ascii="Times New Roman" w:eastAsia="Times New Roman" w:hAnsi="Times New Roman" w:cs="Times New Roman"/>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C553F9">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13" w:type="pct"/>
            <w:hideMark/>
          </w:tcPr>
          <w:p w:rsidR="00A1258A" w:rsidRPr="00B2660D" w:rsidRDefault="00A1258A">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Hypertension</w:t>
            </w:r>
          </w:p>
        </w:tc>
        <w:tc>
          <w:tcPr>
            <w:tcW w:w="502" w:type="pct"/>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Coronary artery disease</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Malignancy</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5B7F1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Renal failure</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B2660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B2660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B2660D" w:rsidP="00A1258A">
            <w:pPr>
              <w:jc w:val="center"/>
              <w:rPr>
                <w:rFonts w:ascii="Times New Roman" w:eastAsia="Times New Roman" w:hAnsi="Times New Roman" w:cs="Times New Roman"/>
                <w:sz w:val="20"/>
                <w:szCs w:val="20"/>
                <w:lang w:eastAsia="en-CA"/>
              </w:rPr>
            </w:pPr>
            <w:r w:rsidRPr="00B2660D">
              <w:rPr>
                <w:rFonts w:ascii="Times New Roman" w:eastAsia="Times New Roman" w:hAnsi="Times New Roman" w:cs="Times New Roman"/>
                <w:sz w:val="20"/>
                <w:szCs w:val="20"/>
                <w:lang w:eastAsia="en-CA"/>
              </w:rPr>
              <w:t>X</w:t>
            </w:r>
          </w:p>
        </w:tc>
        <w:tc>
          <w:tcPr>
            <w:tcW w:w="313" w:type="pct"/>
            <w:hideMark/>
          </w:tcPr>
          <w:p w:rsidR="00A1258A" w:rsidRPr="00B2660D" w:rsidRDefault="00A1258A" w:rsidP="000C111C">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Other</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B2660D"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B2660D"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B2660D"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val="restart"/>
            <w:hideMark/>
          </w:tcPr>
          <w:p w:rsidR="00A1258A" w:rsidRPr="00B2660D" w:rsidRDefault="00A1258A" w:rsidP="00A1258A">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lastRenderedPageBreak/>
              <w:t>Hospitalization Data</w:t>
            </w: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Hospitalization</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Infection hospitalization</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Diagnosis</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Date</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Length of stay</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A1258A" w:rsidRPr="00B2660D" w:rsidRDefault="00A1258A" w:rsidP="00A1258A">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Medical services</w:t>
            </w: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Physician visits</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xml:space="preserve">Specialty </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A1258A" w:rsidRPr="00B2660D" w:rsidRDefault="00A1258A" w:rsidP="00A1258A">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Relevant Surgical History</w:t>
            </w: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Surgery date</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06" w:type="pct"/>
            <w:hideMark/>
          </w:tcPr>
          <w:p w:rsidR="00A1258A" w:rsidRPr="00B2660D" w:rsidRDefault="00A1258A" w:rsidP="00A1258A">
            <w:pPr>
              <w:jc w:val="center"/>
              <w:rPr>
                <w:rFonts w:ascii="Times New Roman" w:eastAsia="Times New Roman" w:hAnsi="Times New Roman" w:cs="Times New Roman"/>
                <w:sz w:val="20"/>
                <w:szCs w:val="20"/>
                <w:lang w:eastAsia="en-CA"/>
              </w:rPr>
            </w:pP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Surgery description</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val="restart"/>
            <w:hideMark/>
          </w:tcPr>
          <w:p w:rsidR="00A1258A" w:rsidRPr="00B2660D" w:rsidRDefault="00A1258A" w:rsidP="00A1258A">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Infection</w:t>
            </w: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Infection event</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Infection date</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A1258A" w:rsidRPr="00B2660D" w:rsidRDefault="00A1258A" w:rsidP="00A1258A">
            <w:pPr>
              <w:rPr>
                <w:rFonts w:ascii="Times New Roman" w:eastAsia="Times New Roman" w:hAnsi="Times New Roman" w:cs="Times New Roman"/>
                <w:b/>
                <w:bCs/>
                <w:color w:val="000000"/>
                <w:sz w:val="20"/>
                <w:szCs w:val="20"/>
                <w:lang w:eastAsia="en-CA"/>
              </w:rPr>
            </w:pPr>
          </w:p>
        </w:tc>
        <w:tc>
          <w:tcPr>
            <w:tcW w:w="580" w:type="pct"/>
            <w:hideMark/>
          </w:tcPr>
          <w:p w:rsidR="00A1258A" w:rsidRPr="00B2660D" w:rsidRDefault="00A1258A" w:rsidP="00A1258A">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Infection description</w:t>
            </w:r>
          </w:p>
        </w:tc>
        <w:tc>
          <w:tcPr>
            <w:tcW w:w="502" w:type="pct"/>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A1258A"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A1258A" w:rsidRPr="00B2660D" w:rsidRDefault="00A1258A" w:rsidP="00A1258A">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7254AE" w:rsidRPr="00B2660D" w:rsidRDefault="007254AE" w:rsidP="007254A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Diagnosis and </w:t>
            </w:r>
            <w:r w:rsidRPr="00B2660D">
              <w:rPr>
                <w:rFonts w:ascii="Times New Roman" w:eastAsia="Times New Roman" w:hAnsi="Times New Roman" w:cs="Times New Roman"/>
                <w:b/>
                <w:bCs/>
                <w:color w:val="000000"/>
                <w:sz w:val="20"/>
                <w:szCs w:val="20"/>
                <w:lang w:eastAsia="en-CA"/>
              </w:rPr>
              <w:lastRenderedPageBreak/>
              <w:t>disease status</w:t>
            </w: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Date of diagnosis</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Disease duration</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Disease status</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7254AE" w:rsidRPr="00B2660D" w:rsidRDefault="007254AE" w:rsidP="007254A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Clinical evaluation of </w:t>
            </w:r>
            <w:r w:rsidRPr="00B2660D">
              <w:rPr>
                <w:rFonts w:ascii="Times New Roman" w:eastAsia="Times New Roman" w:hAnsi="Times New Roman" w:cs="Times New Roman"/>
                <w:b/>
                <w:bCs/>
                <w:color w:val="000000"/>
                <w:sz w:val="20"/>
                <w:szCs w:val="20"/>
                <w:lang w:eastAsia="en-CA"/>
              </w:rPr>
              <w:br/>
              <w:t>disease activity and response</w:t>
            </w: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DAS-28</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SDAI</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ASAS</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ASDAS</w:t>
            </w:r>
          </w:p>
        </w:tc>
        <w:tc>
          <w:tcPr>
            <w:tcW w:w="502" w:type="pct"/>
          </w:tcPr>
          <w:p w:rsidR="007254AE" w:rsidRPr="00B2660D" w:rsidRDefault="007254AE" w:rsidP="007254AE">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BASDAI</w:t>
            </w:r>
          </w:p>
        </w:tc>
        <w:tc>
          <w:tcPr>
            <w:tcW w:w="502" w:type="pct"/>
          </w:tcPr>
          <w:p w:rsidR="007254AE" w:rsidRPr="00B2660D" w:rsidRDefault="007254AE" w:rsidP="007254AE">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BASFI</w:t>
            </w:r>
          </w:p>
        </w:tc>
        <w:tc>
          <w:tcPr>
            <w:tcW w:w="502" w:type="pct"/>
          </w:tcPr>
          <w:p w:rsidR="007254AE" w:rsidRPr="00B2660D" w:rsidRDefault="007254AE" w:rsidP="007254AE">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1D21DE" w:rsidRPr="00B2660D" w:rsidTr="00C46CDF">
        <w:trPr>
          <w:trHeight w:val="300"/>
        </w:trPr>
        <w:tc>
          <w:tcPr>
            <w:tcW w:w="536" w:type="pct"/>
            <w:vMerge/>
            <w:hideMark/>
          </w:tcPr>
          <w:p w:rsidR="001D21DE" w:rsidRPr="00B2660D" w:rsidRDefault="001D21DE" w:rsidP="007254AE">
            <w:pPr>
              <w:rPr>
                <w:rFonts w:ascii="Times New Roman" w:eastAsia="Times New Roman" w:hAnsi="Times New Roman" w:cs="Times New Roman"/>
                <w:b/>
                <w:bCs/>
                <w:color w:val="000000"/>
                <w:sz w:val="20"/>
                <w:szCs w:val="20"/>
                <w:lang w:eastAsia="en-CA"/>
              </w:rPr>
            </w:pPr>
          </w:p>
        </w:tc>
        <w:tc>
          <w:tcPr>
            <w:tcW w:w="580" w:type="pct"/>
            <w:hideMark/>
          </w:tcPr>
          <w:p w:rsidR="001D21DE" w:rsidRPr="00B2660D" w:rsidRDefault="001D21DE" w:rsidP="007254AE">
            <w:pPr>
              <w:rPr>
                <w:rFonts w:ascii="Times New Roman" w:eastAsia="Times New Roman" w:hAnsi="Times New Roman" w:cs="Times New Roman"/>
                <w:color w:val="000000"/>
                <w:sz w:val="20"/>
                <w:szCs w:val="20"/>
                <w:lang w:eastAsia="en-CA"/>
              </w:rPr>
            </w:pPr>
            <w:proofErr w:type="spellStart"/>
            <w:r>
              <w:rPr>
                <w:rFonts w:ascii="Times New Roman" w:eastAsia="Times New Roman" w:hAnsi="Times New Roman" w:cs="Times New Roman"/>
                <w:color w:val="000000"/>
                <w:sz w:val="20"/>
                <w:szCs w:val="20"/>
                <w:lang w:eastAsia="en-CA"/>
              </w:rPr>
              <w:t>mSASSS</w:t>
            </w:r>
            <w:proofErr w:type="spellEnd"/>
          </w:p>
        </w:tc>
        <w:tc>
          <w:tcPr>
            <w:tcW w:w="502" w:type="pct"/>
          </w:tcPr>
          <w:p w:rsidR="001D21DE" w:rsidRPr="00B2660D" w:rsidRDefault="001D21DE" w:rsidP="007254AE">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Questionnaire</w:t>
            </w:r>
          </w:p>
        </w:tc>
        <w:tc>
          <w:tcPr>
            <w:tcW w:w="504"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X</w:t>
            </w:r>
          </w:p>
        </w:tc>
        <w:tc>
          <w:tcPr>
            <w:tcW w:w="421"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06"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c>
          <w:tcPr>
            <w:tcW w:w="313" w:type="pct"/>
            <w:hideMark/>
          </w:tcPr>
          <w:p w:rsidR="001D21DE" w:rsidRPr="00B2660D" w:rsidRDefault="001D21DE" w:rsidP="007254AE">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Joint Count</w:t>
            </w:r>
          </w:p>
        </w:tc>
        <w:tc>
          <w:tcPr>
            <w:tcW w:w="502" w:type="pct"/>
          </w:tcPr>
          <w:p w:rsidR="007254AE" w:rsidRPr="00B2660D" w:rsidRDefault="007254AE" w:rsidP="007254AE">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A65621" w:rsidRPr="00B2660D" w:rsidRDefault="00F82DCB" w:rsidP="007254AE">
            <w:pPr>
              <w:rPr>
                <w:rFonts w:ascii="Times New Roman" w:eastAsia="Times New Roman" w:hAnsi="Times New Roman" w:cs="Times New Roman"/>
                <w:color w:val="000000"/>
                <w:sz w:val="20"/>
                <w:szCs w:val="20"/>
                <w:lang w:eastAsia="en-CA"/>
              </w:rPr>
            </w:pPr>
            <w:r w:rsidRPr="00F33260">
              <w:rPr>
                <w:rFonts w:ascii="Times New Roman" w:eastAsia="Times New Roman" w:hAnsi="Times New Roman" w:cs="Times New Roman"/>
                <w:color w:val="000000"/>
                <w:sz w:val="20"/>
                <w:szCs w:val="20"/>
                <w:lang w:eastAsia="en-CA"/>
              </w:rPr>
              <w:t xml:space="preserve">Mayo Score or </w:t>
            </w:r>
            <w:r w:rsidR="00E935D2" w:rsidRPr="00F33260">
              <w:rPr>
                <w:rFonts w:ascii="Times New Roman" w:eastAsia="Times New Roman" w:hAnsi="Times New Roman" w:cs="Times New Roman"/>
                <w:color w:val="000000"/>
                <w:sz w:val="20"/>
                <w:szCs w:val="20"/>
                <w:lang w:eastAsia="en-CA"/>
              </w:rPr>
              <w:t>PMS</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151"/>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CDAI</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HBI</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Disease phenotype</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06" w:type="pct"/>
            <w:hideMark/>
          </w:tcPr>
          <w:p w:rsidR="007254AE" w:rsidRPr="00B2660D" w:rsidRDefault="007254AE" w:rsidP="007254AE">
            <w:pPr>
              <w:jc w:val="center"/>
              <w:rPr>
                <w:rFonts w:ascii="Times New Roman" w:eastAsia="Times New Roman" w:hAnsi="Times New Roman" w:cs="Times New Roman"/>
                <w:sz w:val="20"/>
                <w:szCs w:val="20"/>
                <w:lang w:eastAsia="en-CA"/>
              </w:rPr>
            </w:pP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164D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Physician’s</w:t>
            </w:r>
            <w:r w:rsidR="007254AE" w:rsidRPr="00B2660D">
              <w:rPr>
                <w:rFonts w:ascii="Times New Roman" w:eastAsia="Times New Roman" w:hAnsi="Times New Roman" w:cs="Times New Roman"/>
                <w:color w:val="000000"/>
                <w:sz w:val="20"/>
                <w:szCs w:val="20"/>
                <w:lang w:eastAsia="en-CA"/>
              </w:rPr>
              <w:t xml:space="preserve"> global assessment</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7254AE" w:rsidRPr="00B2660D" w:rsidRDefault="007254AE" w:rsidP="007254A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Patient reported outcomes</w:t>
            </w:r>
            <w:r w:rsidRPr="00B2660D">
              <w:rPr>
                <w:rFonts w:ascii="Times New Roman" w:eastAsia="Times New Roman" w:hAnsi="Times New Roman" w:cs="Times New Roman"/>
                <w:b/>
                <w:bCs/>
                <w:color w:val="000000"/>
                <w:sz w:val="20"/>
                <w:szCs w:val="20"/>
                <w:lang w:eastAsia="en-CA"/>
              </w:rPr>
              <w:br/>
              <w:t>QoL</w:t>
            </w: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HAQ-DI</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SIBDQ</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tcPr>
          <w:p w:rsidR="00B921F1" w:rsidRPr="00B2660D" w:rsidRDefault="00B921F1" w:rsidP="00B921F1">
            <w:pPr>
              <w:rPr>
                <w:rFonts w:ascii="Times New Roman" w:eastAsia="Times New Roman" w:hAnsi="Times New Roman" w:cs="Times New Roman"/>
                <w:b/>
                <w:bCs/>
                <w:color w:val="000000"/>
                <w:sz w:val="20"/>
                <w:szCs w:val="20"/>
                <w:lang w:eastAsia="en-CA"/>
              </w:rPr>
            </w:pPr>
          </w:p>
        </w:tc>
        <w:tc>
          <w:tcPr>
            <w:tcW w:w="580" w:type="pct"/>
          </w:tcPr>
          <w:p w:rsidR="00B921F1" w:rsidRPr="00B2660D" w:rsidRDefault="00B921F1" w:rsidP="00B921F1">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EQ-5D</w:t>
            </w:r>
          </w:p>
        </w:tc>
        <w:tc>
          <w:tcPr>
            <w:tcW w:w="502" w:type="pct"/>
          </w:tcPr>
          <w:p w:rsidR="00B921F1" w:rsidRPr="00B2660D" w:rsidRDefault="00B921F1" w:rsidP="00B921F1">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p>
        </w:tc>
        <w:tc>
          <w:tcPr>
            <w:tcW w:w="306"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tcPr>
          <w:p w:rsidR="00B921F1" w:rsidRPr="00B2660D" w:rsidRDefault="00B921F1" w:rsidP="00B921F1">
            <w:pPr>
              <w:jc w:val="center"/>
              <w:rPr>
                <w:rFonts w:ascii="Times New Roman" w:eastAsia="Times New Roman" w:hAnsi="Times New Roman" w:cs="Times New Roman"/>
                <w:color w:val="000000"/>
                <w:sz w:val="20"/>
                <w:szCs w:val="20"/>
                <w:lang w:eastAsia="en-CA"/>
              </w:rPr>
            </w:pP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VR-12</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7254AE" w:rsidRPr="00B2660D" w:rsidRDefault="007254AE" w:rsidP="007254AE">
            <w:pPr>
              <w:rPr>
                <w:rFonts w:ascii="Times New Roman" w:eastAsia="Times New Roman" w:hAnsi="Times New Roman" w:cs="Times New Roman"/>
                <w:b/>
                <w:bCs/>
                <w:color w:val="000000"/>
                <w:sz w:val="20"/>
                <w:szCs w:val="20"/>
                <w:lang w:eastAsia="en-CA"/>
              </w:rPr>
            </w:pPr>
          </w:p>
        </w:tc>
        <w:tc>
          <w:tcPr>
            <w:tcW w:w="580" w:type="pct"/>
            <w:hideMark/>
          </w:tcPr>
          <w:p w:rsidR="007254AE" w:rsidRPr="00B2660D" w:rsidRDefault="00A65621"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VAS (</w:t>
            </w:r>
            <w:r w:rsidR="007254AE" w:rsidRPr="00B2660D">
              <w:rPr>
                <w:rFonts w:ascii="Times New Roman" w:eastAsia="Times New Roman" w:hAnsi="Times New Roman" w:cs="Times New Roman"/>
                <w:color w:val="000000"/>
                <w:sz w:val="20"/>
                <w:szCs w:val="20"/>
                <w:lang w:eastAsia="en-CA"/>
              </w:rPr>
              <w:t>Patient's global assessment</w:t>
            </w:r>
            <w:r w:rsidRPr="00B2660D">
              <w:rPr>
                <w:rFonts w:ascii="Times New Roman" w:eastAsia="Times New Roman" w:hAnsi="Times New Roman" w:cs="Times New Roman"/>
                <w:color w:val="000000"/>
                <w:sz w:val="20"/>
                <w:szCs w:val="20"/>
                <w:lang w:eastAsia="en-CA"/>
              </w:rPr>
              <w:t>)</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hideMark/>
          </w:tcPr>
          <w:p w:rsidR="007254AE" w:rsidRPr="00B2660D" w:rsidRDefault="007254AE" w:rsidP="007254A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Imaging</w:t>
            </w: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Endoscopy report</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hideMark/>
          </w:tcPr>
          <w:p w:rsidR="007254AE" w:rsidRPr="00B2660D" w:rsidRDefault="007254AE" w:rsidP="007254A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X-Rays</w:t>
            </w:r>
          </w:p>
        </w:tc>
        <w:tc>
          <w:tcPr>
            <w:tcW w:w="580" w:type="pct"/>
            <w:hideMark/>
          </w:tcPr>
          <w:p w:rsidR="007254AE" w:rsidRPr="00B2660D" w:rsidRDefault="007254AE"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 ray report</w:t>
            </w:r>
          </w:p>
        </w:tc>
        <w:tc>
          <w:tcPr>
            <w:tcW w:w="502" w:type="pct"/>
          </w:tcPr>
          <w:p w:rsidR="007254AE" w:rsidRPr="00B2660D" w:rsidRDefault="007254AE"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c>
          <w:tcPr>
            <w:tcW w:w="306"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7254AE" w:rsidRPr="00B2660D" w:rsidRDefault="007254AE"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 </w:t>
            </w:r>
          </w:p>
        </w:tc>
      </w:tr>
      <w:tr w:rsidR="00C46CDF" w:rsidRPr="00B2660D" w:rsidTr="00C46CDF">
        <w:trPr>
          <w:trHeight w:val="300"/>
        </w:trPr>
        <w:tc>
          <w:tcPr>
            <w:tcW w:w="536" w:type="pct"/>
            <w:vMerge w:val="restart"/>
            <w:hideMark/>
          </w:tcPr>
          <w:p w:rsidR="002C29D3" w:rsidRPr="00B2660D" w:rsidRDefault="002C29D3" w:rsidP="007254AE">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Laboratory </w:t>
            </w:r>
            <w:r w:rsidRPr="00B2660D">
              <w:rPr>
                <w:rFonts w:ascii="Times New Roman" w:eastAsia="Times New Roman" w:hAnsi="Times New Roman" w:cs="Times New Roman"/>
                <w:b/>
                <w:bCs/>
                <w:color w:val="000000"/>
                <w:sz w:val="20"/>
                <w:szCs w:val="20"/>
                <w:lang w:eastAsia="en-CA"/>
              </w:rPr>
              <w:lastRenderedPageBreak/>
              <w:t>parameters</w:t>
            </w: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WBC</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RBC</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Hg</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noWrap/>
            <w:hideMark/>
          </w:tcPr>
          <w:p w:rsidR="002C29D3" w:rsidRPr="00B2660D" w:rsidRDefault="002C29D3" w:rsidP="007254AE">
            <w:pPr>
              <w:rPr>
                <w:rFonts w:ascii="Times New Roman" w:eastAsia="Times New Roman" w:hAnsi="Times New Roman" w:cs="Times New Roman"/>
                <w:color w:val="222222"/>
                <w:sz w:val="20"/>
                <w:szCs w:val="20"/>
                <w:lang w:eastAsia="en-CA"/>
              </w:rPr>
            </w:pPr>
            <w:r w:rsidRPr="00B2660D">
              <w:rPr>
                <w:rFonts w:ascii="Times New Roman" w:eastAsia="Times New Roman" w:hAnsi="Times New Roman" w:cs="Times New Roman"/>
                <w:color w:val="222222"/>
                <w:sz w:val="20"/>
                <w:szCs w:val="20"/>
                <w:lang w:eastAsia="en-CA"/>
              </w:rPr>
              <w:t>Hematocrit</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noWrap/>
            <w:hideMark/>
          </w:tcPr>
          <w:p w:rsidR="002C29D3" w:rsidRPr="00B2660D" w:rsidRDefault="002C29D3" w:rsidP="007254AE">
            <w:pPr>
              <w:rPr>
                <w:rFonts w:ascii="Times New Roman" w:eastAsia="Times New Roman" w:hAnsi="Times New Roman" w:cs="Times New Roman"/>
                <w:color w:val="222222"/>
                <w:sz w:val="20"/>
                <w:szCs w:val="20"/>
                <w:lang w:eastAsia="en-CA"/>
              </w:rPr>
            </w:pPr>
            <w:r w:rsidRPr="00B2660D">
              <w:rPr>
                <w:rFonts w:ascii="Times New Roman" w:eastAsia="Times New Roman" w:hAnsi="Times New Roman" w:cs="Times New Roman"/>
                <w:color w:val="222222"/>
                <w:sz w:val="20"/>
                <w:szCs w:val="20"/>
                <w:lang w:eastAsia="en-CA"/>
              </w:rPr>
              <w:t>Platelets</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Creatinine</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Urinalysis</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ESR</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noWrap/>
            <w:hideMark/>
          </w:tcPr>
          <w:p w:rsidR="002C29D3" w:rsidRPr="00B2660D" w:rsidRDefault="002C29D3" w:rsidP="007254AE">
            <w:pPr>
              <w:jc w:val="both"/>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Fecal calprotectin</w:t>
            </w:r>
            <w:r w:rsidR="00F82DCB" w:rsidRPr="00B2660D">
              <w:rPr>
                <w:rFonts w:ascii="Times New Roman" w:eastAsia="Times New Roman" w:hAnsi="Times New Roman" w:cs="Times New Roman"/>
                <w:color w:val="000000"/>
                <w:sz w:val="20"/>
                <w:szCs w:val="20"/>
                <w:lang w:eastAsia="en-CA"/>
              </w:rPr>
              <w:t xml:space="preserve"> (as available)</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2C29D3" w:rsidRPr="00B2660D" w:rsidRDefault="002C29D3" w:rsidP="007254AE">
            <w:pPr>
              <w:rPr>
                <w:rFonts w:ascii="Times New Roman" w:eastAsia="Times New Roman" w:hAnsi="Times New Roman" w:cs="Times New Roman"/>
                <w:b/>
                <w:bCs/>
                <w:color w:val="000000"/>
                <w:sz w:val="20"/>
                <w:szCs w:val="20"/>
                <w:lang w:eastAsia="en-CA"/>
              </w:rPr>
            </w:pPr>
          </w:p>
        </w:tc>
        <w:tc>
          <w:tcPr>
            <w:tcW w:w="580" w:type="pct"/>
            <w:hideMark/>
          </w:tcPr>
          <w:p w:rsidR="002C29D3" w:rsidRPr="00B2660D" w:rsidRDefault="002C29D3" w:rsidP="007254AE">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CRP</w:t>
            </w:r>
          </w:p>
        </w:tc>
        <w:tc>
          <w:tcPr>
            <w:tcW w:w="502" w:type="pct"/>
          </w:tcPr>
          <w:p w:rsidR="002C29D3" w:rsidRPr="00B2660D" w:rsidRDefault="002C29D3" w:rsidP="007254AE">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2C29D3" w:rsidRPr="00B2660D" w:rsidRDefault="002C29D3" w:rsidP="007254AE">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shd w:val="clear" w:color="auto" w:fill="auto"/>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Data on therapy drug monitoring</w:t>
            </w:r>
          </w:p>
        </w:tc>
        <w:tc>
          <w:tcPr>
            <w:tcW w:w="502" w:type="pct"/>
            <w:shd w:val="clear" w:color="auto" w:fill="auto"/>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tc>
        <w:tc>
          <w:tcPr>
            <w:tcW w:w="504"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shd w:val="clear" w:color="auto" w:fill="auto"/>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E02509" w:rsidRPr="00B2660D" w:rsidRDefault="00E02509" w:rsidP="00E02509">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Current Medication</w:t>
            </w: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Medication type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Medication name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Drug Identification Number (DIN)</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Start date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Dose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Frequency</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E02509" w:rsidRPr="00B2660D" w:rsidRDefault="00E02509" w:rsidP="00E02509">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Changes in current medications</w:t>
            </w: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Medication type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Medication name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DIN</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Stop date</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Reason for stopping medication</w:t>
            </w:r>
          </w:p>
        </w:tc>
        <w:tc>
          <w:tcPr>
            <w:tcW w:w="502" w:type="pct"/>
          </w:tcPr>
          <w:p w:rsidR="00E02509" w:rsidRPr="00B2660D" w:rsidRDefault="00E02509" w:rsidP="00E02509">
            <w:pPr>
              <w:spacing w:after="160" w:line="259" w:lineRule="auto"/>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E02509" w:rsidRPr="00B2660D" w:rsidRDefault="00E02509" w:rsidP="00E02509">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 xml:space="preserve">Concomitant </w:t>
            </w:r>
            <w:r w:rsidRPr="00B2660D">
              <w:rPr>
                <w:rFonts w:ascii="Times New Roman" w:eastAsia="Times New Roman" w:hAnsi="Times New Roman" w:cs="Times New Roman"/>
                <w:b/>
                <w:bCs/>
                <w:color w:val="000000"/>
                <w:sz w:val="20"/>
                <w:szCs w:val="20"/>
                <w:lang w:eastAsia="en-CA"/>
              </w:rPr>
              <w:lastRenderedPageBreak/>
              <w:t>medications</w:t>
            </w: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Medication type</w:t>
            </w:r>
          </w:p>
        </w:tc>
        <w:tc>
          <w:tcPr>
            <w:tcW w:w="502" w:type="pct"/>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Administrative database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lastRenderedPageBreak/>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Medication name</w:t>
            </w:r>
          </w:p>
        </w:tc>
        <w:tc>
          <w:tcPr>
            <w:tcW w:w="502" w:type="pct"/>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DIN</w:t>
            </w:r>
          </w:p>
        </w:tc>
        <w:tc>
          <w:tcPr>
            <w:tcW w:w="502" w:type="pct"/>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Start date</w:t>
            </w:r>
          </w:p>
        </w:tc>
        <w:tc>
          <w:tcPr>
            <w:tcW w:w="502" w:type="pct"/>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Questionnaire</w:t>
            </w:r>
          </w:p>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Administrative database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val="restart"/>
            <w:hideMark/>
          </w:tcPr>
          <w:p w:rsidR="00E02509" w:rsidRPr="00B2660D" w:rsidRDefault="00E02509" w:rsidP="00E02509">
            <w:pPr>
              <w:rPr>
                <w:rFonts w:ascii="Times New Roman" w:eastAsia="Times New Roman" w:hAnsi="Times New Roman" w:cs="Times New Roman"/>
                <w:b/>
                <w:bCs/>
                <w:color w:val="000000"/>
                <w:sz w:val="20"/>
                <w:szCs w:val="20"/>
                <w:lang w:eastAsia="en-CA"/>
              </w:rPr>
            </w:pPr>
            <w:r w:rsidRPr="00B2660D">
              <w:rPr>
                <w:rFonts w:ascii="Times New Roman" w:eastAsia="Times New Roman" w:hAnsi="Times New Roman" w:cs="Times New Roman"/>
                <w:b/>
                <w:bCs/>
                <w:color w:val="000000"/>
                <w:sz w:val="20"/>
                <w:szCs w:val="20"/>
                <w:lang w:eastAsia="en-CA"/>
              </w:rPr>
              <w:t>Adverse events</w:t>
            </w: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Occurrence adverse events</w:t>
            </w:r>
          </w:p>
        </w:tc>
        <w:tc>
          <w:tcPr>
            <w:tcW w:w="502" w:type="pct"/>
          </w:tcPr>
          <w:p w:rsidR="00E02509" w:rsidRPr="00B2660D" w:rsidRDefault="00E02509" w:rsidP="00E02509">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Date AE</w:t>
            </w:r>
          </w:p>
        </w:tc>
        <w:tc>
          <w:tcPr>
            <w:tcW w:w="502" w:type="pct"/>
          </w:tcPr>
          <w:p w:rsidR="00E02509" w:rsidRPr="00B2660D" w:rsidRDefault="00E02509" w:rsidP="00E02509">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r w:rsidR="00C46CDF" w:rsidRPr="00B2660D" w:rsidTr="00C46CDF">
        <w:trPr>
          <w:trHeight w:val="300"/>
        </w:trPr>
        <w:tc>
          <w:tcPr>
            <w:tcW w:w="536" w:type="pct"/>
            <w:vMerge/>
            <w:hideMark/>
          </w:tcPr>
          <w:p w:rsidR="00E02509" w:rsidRPr="00B2660D" w:rsidRDefault="00E02509" w:rsidP="00E02509">
            <w:pPr>
              <w:rPr>
                <w:rFonts w:ascii="Times New Roman" w:eastAsia="Times New Roman" w:hAnsi="Times New Roman" w:cs="Times New Roman"/>
                <w:b/>
                <w:bCs/>
                <w:color w:val="000000"/>
                <w:sz w:val="20"/>
                <w:szCs w:val="20"/>
                <w:lang w:eastAsia="en-CA"/>
              </w:rPr>
            </w:pPr>
          </w:p>
        </w:tc>
        <w:tc>
          <w:tcPr>
            <w:tcW w:w="580" w:type="pct"/>
            <w:hideMark/>
          </w:tcPr>
          <w:p w:rsidR="00E02509" w:rsidRPr="00B2660D" w:rsidRDefault="00E02509" w:rsidP="00E02509">
            <w:pP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Type</w:t>
            </w:r>
          </w:p>
        </w:tc>
        <w:tc>
          <w:tcPr>
            <w:tcW w:w="502" w:type="pct"/>
          </w:tcPr>
          <w:p w:rsidR="00E02509" w:rsidRPr="00B2660D" w:rsidRDefault="00E02509" w:rsidP="00E02509">
            <w:pPr>
              <w:rPr>
                <w:rFonts w:ascii="Times New Roman" w:hAnsi="Times New Roman" w:cs="Times New Roman"/>
                <w:sz w:val="20"/>
                <w:szCs w:val="20"/>
              </w:rPr>
            </w:pPr>
            <w:r w:rsidRPr="00B2660D">
              <w:rPr>
                <w:rFonts w:ascii="Times New Roman" w:eastAsia="Times New Roman" w:hAnsi="Times New Roman" w:cs="Times New Roman"/>
                <w:color w:val="000000"/>
                <w:sz w:val="20"/>
                <w:szCs w:val="20"/>
                <w:lang w:eastAsia="en-CA"/>
              </w:rPr>
              <w:t>Questionnaire</w:t>
            </w:r>
          </w:p>
        </w:tc>
        <w:tc>
          <w:tcPr>
            <w:tcW w:w="504"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421"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06"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c>
          <w:tcPr>
            <w:tcW w:w="313" w:type="pct"/>
            <w:hideMark/>
          </w:tcPr>
          <w:p w:rsidR="00E02509" w:rsidRPr="00B2660D" w:rsidRDefault="00E02509" w:rsidP="00E02509">
            <w:pPr>
              <w:jc w:val="center"/>
              <w:rPr>
                <w:rFonts w:ascii="Times New Roman" w:eastAsia="Times New Roman" w:hAnsi="Times New Roman" w:cs="Times New Roman"/>
                <w:color w:val="000000"/>
                <w:sz w:val="20"/>
                <w:szCs w:val="20"/>
                <w:lang w:eastAsia="en-CA"/>
              </w:rPr>
            </w:pPr>
            <w:r w:rsidRPr="00B2660D">
              <w:rPr>
                <w:rFonts w:ascii="Times New Roman" w:eastAsia="Times New Roman" w:hAnsi="Times New Roman" w:cs="Times New Roman"/>
                <w:color w:val="000000"/>
                <w:sz w:val="20"/>
                <w:szCs w:val="20"/>
                <w:lang w:eastAsia="en-CA"/>
              </w:rPr>
              <w:t>X</w:t>
            </w:r>
          </w:p>
        </w:tc>
      </w:tr>
    </w:tbl>
    <w:p w:rsidR="00BD0E2E" w:rsidRPr="00C7040F" w:rsidRDefault="00BD0E2E" w:rsidP="00B90393">
      <w:pPr>
        <w:spacing w:line="276" w:lineRule="auto"/>
        <w:jc w:val="both"/>
        <w:rPr>
          <w:rFonts w:ascii="Times New Roman" w:hAnsi="Times New Roman" w:cs="Times New Roman"/>
        </w:rPr>
      </w:pPr>
    </w:p>
    <w:p w:rsidR="001C66DE" w:rsidRDefault="001C66DE" w:rsidP="00F15AD4">
      <w:pPr>
        <w:spacing w:line="276" w:lineRule="auto"/>
        <w:jc w:val="both"/>
        <w:rPr>
          <w:rFonts w:ascii="Times New Roman" w:hAnsi="Times New Roman" w:cs="Times New Roman"/>
        </w:rPr>
        <w:sectPr w:rsidR="001C66DE" w:rsidSect="004F7A47">
          <w:pgSz w:w="15840" w:h="12240" w:orient="landscape"/>
          <w:pgMar w:top="1440" w:right="1440" w:bottom="1440" w:left="1440" w:header="708" w:footer="708" w:gutter="0"/>
          <w:cols w:space="708"/>
          <w:docGrid w:linePitch="360"/>
        </w:sectPr>
      </w:pPr>
    </w:p>
    <w:p w:rsidR="00BF6033" w:rsidRPr="00C7040F" w:rsidRDefault="00BF6033" w:rsidP="00F15AD4">
      <w:pPr>
        <w:spacing w:line="276" w:lineRule="auto"/>
        <w:jc w:val="both"/>
        <w:rPr>
          <w:rFonts w:ascii="Times New Roman" w:hAnsi="Times New Roman" w:cs="Times New Roman"/>
        </w:rPr>
      </w:pPr>
    </w:p>
    <w:p w:rsidR="00DB338A" w:rsidRPr="00DA2CAB" w:rsidRDefault="00A5519A" w:rsidP="00DA2CAB">
      <w:pPr>
        <w:spacing w:after="0" w:line="220" w:lineRule="exact"/>
        <w:jc w:val="both"/>
        <w:rPr>
          <w:rFonts w:ascii="Times New Roman" w:hAnsi="Times New Roman" w:cs="Times New Roman"/>
          <w:b/>
        </w:rPr>
      </w:pPr>
      <w:r w:rsidRPr="00DA2CAB">
        <w:rPr>
          <w:rFonts w:ascii="Times New Roman" w:hAnsi="Times New Roman" w:cs="Times New Roman"/>
          <w:b/>
        </w:rPr>
        <w:t xml:space="preserve">APPENDIX </w:t>
      </w:r>
      <w:r w:rsidR="00DC6610">
        <w:rPr>
          <w:rFonts w:ascii="Times New Roman" w:hAnsi="Times New Roman" w:cs="Times New Roman"/>
          <w:b/>
        </w:rPr>
        <w:t>C</w:t>
      </w:r>
      <w:r w:rsidR="00506886" w:rsidRPr="00DA2CAB">
        <w:rPr>
          <w:rFonts w:ascii="Times New Roman" w:hAnsi="Times New Roman" w:cs="Times New Roman"/>
          <w:b/>
        </w:rPr>
        <w:t xml:space="preserve"> </w:t>
      </w:r>
      <w:r w:rsidR="007A6D4C" w:rsidRPr="00DA2CAB">
        <w:rPr>
          <w:rFonts w:ascii="Times New Roman" w:hAnsi="Times New Roman" w:cs="Times New Roman"/>
          <w:b/>
        </w:rPr>
        <w:t>–</w:t>
      </w:r>
      <w:r w:rsidR="00DB338A" w:rsidRPr="00DA2CAB">
        <w:rPr>
          <w:rFonts w:ascii="Times New Roman" w:hAnsi="Times New Roman" w:cs="Times New Roman"/>
          <w:b/>
        </w:rPr>
        <w:t xml:space="preserve"> Timeline</w:t>
      </w:r>
    </w:p>
    <w:tbl>
      <w:tblPr>
        <w:tblStyle w:val="TableGrid"/>
        <w:tblW w:w="5000" w:type="pct"/>
        <w:tblLayout w:type="fixed"/>
        <w:tblLook w:val="04A0" w:firstRow="1" w:lastRow="0" w:firstColumn="1" w:lastColumn="0" w:noHBand="0" w:noVBand="1"/>
      </w:tblPr>
      <w:tblGrid>
        <w:gridCol w:w="6352"/>
        <w:gridCol w:w="570"/>
        <w:gridCol w:w="569"/>
        <w:gridCol w:w="569"/>
        <w:gridCol w:w="569"/>
        <w:gridCol w:w="569"/>
        <w:gridCol w:w="569"/>
        <w:gridCol w:w="569"/>
        <w:gridCol w:w="569"/>
        <w:gridCol w:w="569"/>
        <w:gridCol w:w="569"/>
        <w:gridCol w:w="569"/>
        <w:gridCol w:w="564"/>
      </w:tblGrid>
      <w:tr w:rsidR="00E9376D" w:rsidRPr="002E455E" w:rsidTr="00221673">
        <w:tc>
          <w:tcPr>
            <w:tcW w:w="5000" w:type="pct"/>
            <w:gridSpan w:val="13"/>
            <w:shd w:val="clear" w:color="auto" w:fill="A6A6A6" w:themeFill="background1" w:themeFillShade="A6"/>
          </w:tcPr>
          <w:p w:rsidR="00E9376D" w:rsidRPr="002E455E" w:rsidRDefault="00604D05" w:rsidP="00DA2CAB">
            <w:pPr>
              <w:spacing w:line="220" w:lineRule="exact"/>
              <w:jc w:val="center"/>
              <w:rPr>
                <w:rFonts w:ascii="Times New Roman" w:hAnsi="Times New Roman" w:cs="Times New Roman"/>
                <w:b/>
                <w:i/>
                <w:sz w:val="20"/>
                <w:szCs w:val="20"/>
              </w:rPr>
            </w:pPr>
            <w:r w:rsidRPr="002E455E">
              <w:rPr>
                <w:rFonts w:ascii="Times New Roman" w:hAnsi="Times New Roman" w:cs="Times New Roman"/>
                <w:b/>
                <w:i/>
                <w:sz w:val="20"/>
                <w:szCs w:val="20"/>
              </w:rPr>
              <w:t>Year 1 (</w:t>
            </w:r>
            <w:r w:rsidR="00D23377">
              <w:rPr>
                <w:rFonts w:ascii="Times New Roman" w:hAnsi="Times New Roman" w:cs="Times New Roman"/>
                <w:b/>
                <w:i/>
                <w:sz w:val="20"/>
                <w:szCs w:val="20"/>
              </w:rPr>
              <w:t>2018</w:t>
            </w:r>
            <w:r w:rsidRPr="002E455E">
              <w:rPr>
                <w:rFonts w:ascii="Times New Roman" w:hAnsi="Times New Roman" w:cs="Times New Roman"/>
                <w:b/>
                <w:i/>
                <w:sz w:val="20"/>
                <w:szCs w:val="20"/>
              </w:rPr>
              <w:t>)</w:t>
            </w:r>
          </w:p>
        </w:tc>
      </w:tr>
      <w:tr w:rsidR="00E9376D" w:rsidRPr="002E455E" w:rsidTr="00221673">
        <w:tc>
          <w:tcPr>
            <w:tcW w:w="2410" w:type="pct"/>
            <w:vMerge w:val="restart"/>
            <w:shd w:val="clear" w:color="auto" w:fill="D9D9D9" w:themeFill="background1" w:themeFillShade="D9"/>
          </w:tcPr>
          <w:p w:rsidR="00E9376D" w:rsidRPr="002E455E" w:rsidRDefault="00E9376D" w:rsidP="00DA2CAB">
            <w:pPr>
              <w:spacing w:line="220" w:lineRule="exact"/>
              <w:rPr>
                <w:rFonts w:ascii="Times New Roman" w:hAnsi="Times New Roman" w:cs="Times New Roman"/>
                <w:b/>
                <w:i/>
                <w:sz w:val="20"/>
                <w:szCs w:val="20"/>
              </w:rPr>
            </w:pPr>
            <w:r w:rsidRPr="002E455E">
              <w:rPr>
                <w:rFonts w:ascii="Times New Roman" w:hAnsi="Times New Roman" w:cs="Times New Roman"/>
                <w:b/>
                <w:i/>
                <w:sz w:val="20"/>
                <w:szCs w:val="20"/>
              </w:rPr>
              <w:t>Activity</w:t>
            </w:r>
          </w:p>
        </w:tc>
        <w:tc>
          <w:tcPr>
            <w:tcW w:w="2590" w:type="pct"/>
            <w:gridSpan w:val="12"/>
            <w:shd w:val="clear" w:color="auto" w:fill="D9D9D9" w:themeFill="background1" w:themeFillShade="D9"/>
          </w:tcPr>
          <w:p w:rsidR="00E9376D" w:rsidRPr="002E455E" w:rsidRDefault="00E9376D" w:rsidP="00DA2CAB">
            <w:pPr>
              <w:spacing w:line="220" w:lineRule="exact"/>
              <w:jc w:val="center"/>
              <w:rPr>
                <w:rFonts w:ascii="Times New Roman" w:hAnsi="Times New Roman" w:cs="Times New Roman"/>
                <w:b/>
                <w:i/>
                <w:sz w:val="20"/>
                <w:szCs w:val="20"/>
              </w:rPr>
            </w:pPr>
            <w:r w:rsidRPr="002E455E">
              <w:rPr>
                <w:rFonts w:ascii="Times New Roman" w:hAnsi="Times New Roman" w:cs="Times New Roman"/>
                <w:b/>
                <w:i/>
                <w:sz w:val="20"/>
                <w:szCs w:val="20"/>
              </w:rPr>
              <w:t>Month</w:t>
            </w:r>
          </w:p>
        </w:tc>
      </w:tr>
      <w:tr w:rsidR="00DA2CAB" w:rsidRPr="002E455E" w:rsidTr="00BD79C3">
        <w:tc>
          <w:tcPr>
            <w:tcW w:w="2410" w:type="pct"/>
            <w:vMerge/>
            <w:shd w:val="clear" w:color="auto" w:fill="D9D9D9" w:themeFill="background1" w:themeFillShade="D9"/>
          </w:tcPr>
          <w:p w:rsidR="00DA2CAB" w:rsidRPr="002E455E" w:rsidRDefault="00DA2CAB" w:rsidP="00DA2CAB">
            <w:pPr>
              <w:spacing w:line="220" w:lineRule="exact"/>
              <w:rPr>
                <w:rFonts w:ascii="Times New Roman" w:hAnsi="Times New Roman" w:cs="Times New Roman"/>
                <w:sz w:val="20"/>
                <w:szCs w:val="20"/>
              </w:rPr>
            </w:pPr>
          </w:p>
        </w:tc>
        <w:tc>
          <w:tcPr>
            <w:tcW w:w="216" w:type="pct"/>
            <w:shd w:val="clear" w:color="auto" w:fill="D9D9D9" w:themeFill="background1" w:themeFillShade="D9"/>
          </w:tcPr>
          <w:p w:rsidR="00DA2CAB" w:rsidRPr="002E455E"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Jan</w:t>
            </w:r>
          </w:p>
        </w:tc>
        <w:tc>
          <w:tcPr>
            <w:tcW w:w="216" w:type="pct"/>
            <w:shd w:val="clear" w:color="auto" w:fill="D9D9D9" w:themeFill="background1" w:themeFillShade="D9"/>
          </w:tcPr>
          <w:p w:rsidR="00DA2CAB" w:rsidRPr="002E455E"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Feb</w:t>
            </w:r>
          </w:p>
        </w:tc>
        <w:tc>
          <w:tcPr>
            <w:tcW w:w="216" w:type="pct"/>
            <w:shd w:val="clear" w:color="auto" w:fill="D9D9D9" w:themeFill="background1" w:themeFillShade="D9"/>
          </w:tcPr>
          <w:p w:rsidR="00DA2CAB" w:rsidRPr="002E455E"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Mar</w:t>
            </w:r>
          </w:p>
        </w:tc>
        <w:tc>
          <w:tcPr>
            <w:tcW w:w="216" w:type="pct"/>
            <w:shd w:val="clear" w:color="auto" w:fill="D9D9D9" w:themeFill="background1" w:themeFillShade="D9"/>
          </w:tcPr>
          <w:p w:rsidR="00DA2CAB" w:rsidRPr="002E455E"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Apr</w:t>
            </w:r>
          </w:p>
        </w:tc>
        <w:tc>
          <w:tcPr>
            <w:tcW w:w="216" w:type="pct"/>
            <w:shd w:val="clear" w:color="auto" w:fill="D9D9D9" w:themeFill="background1" w:themeFillShade="D9"/>
          </w:tcPr>
          <w:p w:rsidR="00DA2CAB" w:rsidRPr="002E455E"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May</w:t>
            </w:r>
          </w:p>
        </w:tc>
        <w:tc>
          <w:tcPr>
            <w:tcW w:w="216" w:type="pct"/>
            <w:shd w:val="clear" w:color="auto" w:fill="D9D9D9" w:themeFill="background1" w:themeFillShade="D9"/>
          </w:tcPr>
          <w:p w:rsidR="00DA2CAB" w:rsidRPr="002E455E"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Jun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Jul</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Aug</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Sep</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Oct</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Nov</w:t>
            </w:r>
          </w:p>
        </w:tc>
        <w:tc>
          <w:tcPr>
            <w:tcW w:w="214"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Dec</w:t>
            </w:r>
          </w:p>
        </w:tc>
      </w:tr>
      <w:tr w:rsidR="001865F7" w:rsidRPr="002E455E" w:rsidTr="00BD79C3">
        <w:tc>
          <w:tcPr>
            <w:tcW w:w="2410" w:type="pct"/>
            <w:shd w:val="clear" w:color="auto" w:fill="auto"/>
          </w:tcPr>
          <w:p w:rsidR="001865F7" w:rsidRPr="002E455E" w:rsidRDefault="00DA2CAB" w:rsidP="00DA2CAB">
            <w:pPr>
              <w:spacing w:line="220" w:lineRule="exact"/>
              <w:ind w:left="164" w:hanging="142"/>
              <w:rPr>
                <w:rFonts w:ascii="Times New Roman" w:hAnsi="Times New Roman" w:cs="Times New Roman"/>
                <w:sz w:val="20"/>
                <w:szCs w:val="20"/>
              </w:rPr>
            </w:pPr>
            <w:r>
              <w:rPr>
                <w:rFonts w:ascii="Times New Roman" w:hAnsi="Times New Roman" w:cs="Times New Roman"/>
                <w:sz w:val="20"/>
                <w:szCs w:val="20"/>
              </w:rPr>
              <w:t xml:space="preserve">  Analyze </w:t>
            </w:r>
            <w:r w:rsidR="001865F7" w:rsidRPr="002E455E">
              <w:rPr>
                <w:rFonts w:ascii="Times New Roman" w:hAnsi="Times New Roman" w:cs="Times New Roman"/>
                <w:sz w:val="20"/>
                <w:szCs w:val="20"/>
              </w:rPr>
              <w:t>early biosimilar use pattern in Canada with NPDUI</w:t>
            </w:r>
            <w:r w:rsidR="009A7F82" w:rsidRPr="002E455E">
              <w:rPr>
                <w:rFonts w:ascii="Times New Roman" w:hAnsi="Times New Roman" w:cs="Times New Roman"/>
                <w:sz w:val="20"/>
                <w:szCs w:val="20"/>
              </w:rPr>
              <w:t>S</w:t>
            </w:r>
            <w:r>
              <w:rPr>
                <w:rStyle w:val="FootnoteReference"/>
              </w:rPr>
              <w:t xml:space="preserve"> </w:t>
            </w:r>
            <w:r>
              <w:rPr>
                <w:rFonts w:ascii="Times New Roman" w:hAnsi="Times New Roman" w:cs="Times New Roman"/>
                <w:sz w:val="20"/>
                <w:szCs w:val="20"/>
              </w:rPr>
              <w:t>data</w:t>
            </w:r>
          </w:p>
        </w:tc>
        <w:tc>
          <w:tcPr>
            <w:tcW w:w="216" w:type="pct"/>
            <w:shd w:val="clear" w:color="auto" w:fill="FFFFFF" w:themeFill="background1"/>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1865F7" w:rsidRPr="002E455E" w:rsidRDefault="001865F7"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shd w:val="clear" w:color="auto" w:fill="FFFFFF" w:themeFill="background1"/>
          </w:tcPr>
          <w:p w:rsidR="001865F7" w:rsidRPr="002E455E" w:rsidRDefault="001865F7"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shd w:val="clear" w:color="auto" w:fill="FFFFFF" w:themeFill="background1"/>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tcPr>
          <w:p w:rsidR="001865F7" w:rsidRPr="002E455E" w:rsidRDefault="001865F7" w:rsidP="00DA2CAB">
            <w:pPr>
              <w:spacing w:line="220" w:lineRule="exact"/>
              <w:jc w:val="center"/>
              <w:rPr>
                <w:rFonts w:ascii="Times New Roman" w:hAnsi="Times New Roman" w:cs="Times New Roman"/>
                <w:sz w:val="20"/>
                <w:szCs w:val="20"/>
              </w:rPr>
            </w:pPr>
          </w:p>
        </w:tc>
        <w:tc>
          <w:tcPr>
            <w:tcW w:w="216" w:type="pct"/>
          </w:tcPr>
          <w:p w:rsidR="001865F7" w:rsidRPr="002E455E" w:rsidRDefault="001865F7" w:rsidP="00DA2CAB">
            <w:pPr>
              <w:spacing w:line="220" w:lineRule="exact"/>
              <w:jc w:val="center"/>
              <w:rPr>
                <w:rFonts w:ascii="Times New Roman" w:hAnsi="Times New Roman" w:cs="Times New Roman"/>
                <w:sz w:val="20"/>
                <w:szCs w:val="20"/>
              </w:rPr>
            </w:pPr>
          </w:p>
        </w:tc>
        <w:tc>
          <w:tcPr>
            <w:tcW w:w="214" w:type="pct"/>
          </w:tcPr>
          <w:p w:rsidR="001865F7" w:rsidRPr="002E455E" w:rsidRDefault="001865F7" w:rsidP="00DA2CAB">
            <w:pPr>
              <w:spacing w:line="220" w:lineRule="exact"/>
              <w:jc w:val="center"/>
              <w:rPr>
                <w:rFonts w:ascii="Times New Roman" w:hAnsi="Times New Roman" w:cs="Times New Roman"/>
                <w:sz w:val="20"/>
                <w:szCs w:val="20"/>
              </w:rPr>
            </w:pPr>
          </w:p>
        </w:tc>
      </w:tr>
      <w:tr w:rsidR="008203A1" w:rsidRPr="002E455E" w:rsidTr="00BD79C3">
        <w:tc>
          <w:tcPr>
            <w:tcW w:w="2410" w:type="pct"/>
            <w:shd w:val="clear" w:color="auto" w:fill="auto"/>
          </w:tcPr>
          <w:p w:rsidR="008203A1" w:rsidRPr="002E455E" w:rsidRDefault="008203A1" w:rsidP="00DA2CAB">
            <w:pPr>
              <w:spacing w:line="220" w:lineRule="exact"/>
              <w:rPr>
                <w:rFonts w:ascii="Times New Roman" w:hAnsi="Times New Roman" w:cs="Times New Roman"/>
                <w:sz w:val="20"/>
                <w:szCs w:val="20"/>
              </w:rPr>
            </w:pPr>
            <w:r w:rsidRPr="002E455E">
              <w:rPr>
                <w:rFonts w:ascii="Times New Roman" w:hAnsi="Times New Roman" w:cs="Times New Roman"/>
                <w:sz w:val="20"/>
                <w:szCs w:val="20"/>
              </w:rPr>
              <w:t xml:space="preserve">   </w:t>
            </w:r>
            <w:r w:rsidR="001E7BE6" w:rsidRPr="002E455E">
              <w:rPr>
                <w:rFonts w:ascii="Times New Roman" w:hAnsi="Times New Roman" w:cs="Times New Roman"/>
                <w:sz w:val="20"/>
                <w:szCs w:val="20"/>
              </w:rPr>
              <w:t>Modification of</w:t>
            </w:r>
            <w:r w:rsidRPr="002E455E">
              <w:rPr>
                <w:rFonts w:ascii="Times New Roman" w:hAnsi="Times New Roman" w:cs="Times New Roman"/>
                <w:sz w:val="20"/>
                <w:szCs w:val="20"/>
              </w:rPr>
              <w:t xml:space="preserve"> </w:t>
            </w:r>
            <w:r w:rsidR="0055179E">
              <w:rPr>
                <w:rFonts w:ascii="Times New Roman" w:hAnsi="Times New Roman" w:cs="Times New Roman"/>
                <w:sz w:val="20"/>
                <w:szCs w:val="20"/>
              </w:rPr>
              <w:t>case report forms</w:t>
            </w:r>
            <w:r w:rsidR="001E7BE6" w:rsidRPr="002E455E">
              <w:rPr>
                <w:rFonts w:ascii="Times New Roman" w:hAnsi="Times New Roman" w:cs="Times New Roman"/>
                <w:sz w:val="20"/>
                <w:szCs w:val="20"/>
              </w:rPr>
              <w:t xml:space="preserve"> if required</w:t>
            </w:r>
          </w:p>
        </w:tc>
        <w:tc>
          <w:tcPr>
            <w:tcW w:w="216" w:type="pct"/>
            <w:shd w:val="clear" w:color="auto" w:fill="FFFFFF" w:themeFill="background1"/>
          </w:tcPr>
          <w:p w:rsidR="008203A1" w:rsidRPr="002E455E" w:rsidRDefault="008203A1"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8203A1" w:rsidRPr="002E455E" w:rsidRDefault="008203A1"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8203A1" w:rsidRPr="002E455E" w:rsidRDefault="008203A1"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shd w:val="clear" w:color="auto" w:fill="FFFFFF" w:themeFill="background1"/>
          </w:tcPr>
          <w:p w:rsidR="008203A1" w:rsidRPr="002E455E" w:rsidRDefault="008203A1"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shd w:val="clear" w:color="auto" w:fill="FFFFFF" w:themeFill="background1"/>
          </w:tcPr>
          <w:p w:rsidR="008203A1" w:rsidRPr="002E455E" w:rsidRDefault="008203A1"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shd w:val="clear" w:color="auto" w:fill="FFFFFF" w:themeFill="background1"/>
          </w:tcPr>
          <w:p w:rsidR="008203A1" w:rsidRPr="002E455E" w:rsidRDefault="008203A1"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tcPr>
          <w:p w:rsidR="008203A1" w:rsidRPr="002E455E" w:rsidRDefault="008203A1" w:rsidP="00DA2CAB">
            <w:pPr>
              <w:spacing w:line="220" w:lineRule="exact"/>
              <w:jc w:val="center"/>
              <w:rPr>
                <w:rFonts w:ascii="Times New Roman" w:hAnsi="Times New Roman" w:cs="Times New Roman"/>
                <w:sz w:val="20"/>
                <w:szCs w:val="20"/>
              </w:rPr>
            </w:pPr>
          </w:p>
        </w:tc>
        <w:tc>
          <w:tcPr>
            <w:tcW w:w="216" w:type="pct"/>
          </w:tcPr>
          <w:p w:rsidR="008203A1" w:rsidRPr="002E455E" w:rsidRDefault="008203A1" w:rsidP="00DA2CAB">
            <w:pPr>
              <w:spacing w:line="220" w:lineRule="exact"/>
              <w:jc w:val="center"/>
              <w:rPr>
                <w:rFonts w:ascii="Times New Roman" w:hAnsi="Times New Roman" w:cs="Times New Roman"/>
                <w:sz w:val="20"/>
                <w:szCs w:val="20"/>
              </w:rPr>
            </w:pPr>
          </w:p>
        </w:tc>
        <w:tc>
          <w:tcPr>
            <w:tcW w:w="216" w:type="pct"/>
          </w:tcPr>
          <w:p w:rsidR="008203A1" w:rsidRPr="002E455E" w:rsidRDefault="008203A1" w:rsidP="00DA2CAB">
            <w:pPr>
              <w:spacing w:line="220" w:lineRule="exact"/>
              <w:jc w:val="center"/>
              <w:rPr>
                <w:rFonts w:ascii="Times New Roman" w:hAnsi="Times New Roman" w:cs="Times New Roman"/>
                <w:sz w:val="20"/>
                <w:szCs w:val="20"/>
              </w:rPr>
            </w:pPr>
          </w:p>
        </w:tc>
        <w:tc>
          <w:tcPr>
            <w:tcW w:w="216" w:type="pct"/>
          </w:tcPr>
          <w:p w:rsidR="008203A1" w:rsidRPr="002E455E" w:rsidRDefault="008203A1" w:rsidP="00DA2CAB">
            <w:pPr>
              <w:spacing w:line="220" w:lineRule="exact"/>
              <w:jc w:val="center"/>
              <w:rPr>
                <w:rFonts w:ascii="Times New Roman" w:hAnsi="Times New Roman" w:cs="Times New Roman"/>
                <w:sz w:val="20"/>
                <w:szCs w:val="20"/>
              </w:rPr>
            </w:pPr>
          </w:p>
        </w:tc>
        <w:tc>
          <w:tcPr>
            <w:tcW w:w="216" w:type="pct"/>
          </w:tcPr>
          <w:p w:rsidR="008203A1" w:rsidRPr="002E455E" w:rsidRDefault="008203A1" w:rsidP="00DA2CAB">
            <w:pPr>
              <w:spacing w:line="220" w:lineRule="exact"/>
              <w:jc w:val="center"/>
              <w:rPr>
                <w:rFonts w:ascii="Times New Roman" w:hAnsi="Times New Roman" w:cs="Times New Roman"/>
                <w:sz w:val="20"/>
                <w:szCs w:val="20"/>
              </w:rPr>
            </w:pPr>
          </w:p>
        </w:tc>
        <w:tc>
          <w:tcPr>
            <w:tcW w:w="214" w:type="pct"/>
          </w:tcPr>
          <w:p w:rsidR="008203A1" w:rsidRPr="002E455E" w:rsidRDefault="008203A1" w:rsidP="00DA2CAB">
            <w:pPr>
              <w:spacing w:line="220" w:lineRule="exact"/>
              <w:jc w:val="center"/>
              <w:rPr>
                <w:rFonts w:ascii="Times New Roman" w:hAnsi="Times New Roman" w:cs="Times New Roman"/>
                <w:sz w:val="20"/>
                <w:szCs w:val="20"/>
              </w:rPr>
            </w:pPr>
          </w:p>
        </w:tc>
      </w:tr>
      <w:tr w:rsidR="00F84170" w:rsidRPr="002E455E" w:rsidTr="00BD79C3">
        <w:tc>
          <w:tcPr>
            <w:tcW w:w="2410" w:type="pct"/>
            <w:shd w:val="clear" w:color="auto" w:fill="auto"/>
          </w:tcPr>
          <w:p w:rsidR="00F84170" w:rsidRPr="002E455E" w:rsidRDefault="00F84170" w:rsidP="00DA2CAB">
            <w:pPr>
              <w:spacing w:line="220" w:lineRule="exact"/>
              <w:rPr>
                <w:rFonts w:ascii="Times New Roman" w:hAnsi="Times New Roman" w:cs="Times New Roman"/>
                <w:sz w:val="20"/>
                <w:szCs w:val="20"/>
              </w:rPr>
            </w:pPr>
            <w:r w:rsidRPr="002E455E">
              <w:rPr>
                <w:rFonts w:ascii="Times New Roman" w:hAnsi="Times New Roman" w:cs="Times New Roman"/>
                <w:sz w:val="20"/>
                <w:szCs w:val="20"/>
              </w:rPr>
              <w:t xml:space="preserve">   </w:t>
            </w:r>
            <w:r w:rsidR="00573B91" w:rsidRPr="002E455E">
              <w:rPr>
                <w:rFonts w:ascii="Times New Roman" w:hAnsi="Times New Roman" w:cs="Times New Roman"/>
                <w:sz w:val="20"/>
                <w:szCs w:val="20"/>
              </w:rPr>
              <w:t>Mid-year</w:t>
            </w:r>
            <w:r w:rsidRPr="002E455E">
              <w:rPr>
                <w:rFonts w:ascii="Times New Roman" w:hAnsi="Times New Roman" w:cs="Times New Roman"/>
                <w:sz w:val="20"/>
                <w:szCs w:val="20"/>
              </w:rPr>
              <w:t xml:space="preserve"> report</w:t>
            </w: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p>
        </w:tc>
        <w:tc>
          <w:tcPr>
            <w:tcW w:w="214" w:type="pct"/>
          </w:tcPr>
          <w:p w:rsidR="00F84170" w:rsidRPr="002E455E" w:rsidRDefault="00F84170" w:rsidP="00DA2CAB">
            <w:pPr>
              <w:spacing w:line="220" w:lineRule="exact"/>
              <w:jc w:val="center"/>
              <w:rPr>
                <w:rFonts w:ascii="Times New Roman" w:hAnsi="Times New Roman" w:cs="Times New Roman"/>
                <w:sz w:val="20"/>
                <w:szCs w:val="20"/>
              </w:rPr>
            </w:pPr>
          </w:p>
        </w:tc>
      </w:tr>
      <w:tr w:rsidR="0055179E" w:rsidRPr="002E455E" w:rsidTr="00BD79C3">
        <w:tc>
          <w:tcPr>
            <w:tcW w:w="2410" w:type="pct"/>
            <w:shd w:val="clear" w:color="auto" w:fill="auto"/>
          </w:tcPr>
          <w:p w:rsidR="0055179E" w:rsidRPr="002E455E" w:rsidRDefault="0055179E"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Recruitment of participants begins</w:t>
            </w:r>
          </w:p>
        </w:tc>
        <w:tc>
          <w:tcPr>
            <w:tcW w:w="216" w:type="pct"/>
            <w:shd w:val="clear" w:color="auto" w:fill="FFFFFF" w:themeFill="background1"/>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tcPr>
          <w:p w:rsidR="0055179E" w:rsidRPr="002E455E" w:rsidRDefault="0055179E" w:rsidP="00DA2CAB">
            <w:pPr>
              <w:spacing w:line="220" w:lineRule="exact"/>
              <w:jc w:val="center"/>
              <w:rPr>
                <w:rFonts w:ascii="Times New Roman" w:hAnsi="Times New Roman" w:cs="Times New Roman"/>
                <w:sz w:val="20"/>
                <w:szCs w:val="20"/>
              </w:rPr>
            </w:pPr>
          </w:p>
        </w:tc>
        <w:tc>
          <w:tcPr>
            <w:tcW w:w="216" w:type="pct"/>
          </w:tcPr>
          <w:p w:rsidR="0055179E" w:rsidRPr="002E455E" w:rsidRDefault="0055179E"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55179E" w:rsidRPr="002E455E" w:rsidRDefault="0055179E"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4" w:type="pct"/>
          </w:tcPr>
          <w:p w:rsidR="0055179E" w:rsidRPr="002E455E" w:rsidRDefault="0055179E"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r>
      <w:tr w:rsidR="00F84170" w:rsidRPr="00E9376D" w:rsidTr="00BD79C3">
        <w:tc>
          <w:tcPr>
            <w:tcW w:w="2410" w:type="pct"/>
            <w:shd w:val="clear" w:color="auto" w:fill="auto"/>
          </w:tcPr>
          <w:p w:rsidR="00F84170" w:rsidRPr="002E455E" w:rsidRDefault="001E7BE6" w:rsidP="00DA2CAB">
            <w:pPr>
              <w:spacing w:line="220" w:lineRule="exact"/>
              <w:rPr>
                <w:rFonts w:ascii="Times New Roman" w:hAnsi="Times New Roman" w:cs="Times New Roman"/>
                <w:sz w:val="20"/>
                <w:szCs w:val="20"/>
              </w:rPr>
            </w:pPr>
            <w:r w:rsidRPr="002E455E">
              <w:rPr>
                <w:rFonts w:ascii="Times New Roman" w:hAnsi="Times New Roman" w:cs="Times New Roman"/>
                <w:sz w:val="20"/>
                <w:szCs w:val="20"/>
              </w:rPr>
              <w:t xml:space="preserve">   </w:t>
            </w:r>
            <w:r w:rsidR="00743FF5">
              <w:rPr>
                <w:rFonts w:ascii="Times New Roman" w:hAnsi="Times New Roman" w:cs="Times New Roman"/>
                <w:sz w:val="20"/>
                <w:szCs w:val="20"/>
              </w:rPr>
              <w:t>Review</w:t>
            </w:r>
            <w:r w:rsidRPr="002E455E">
              <w:rPr>
                <w:rFonts w:ascii="Times New Roman" w:hAnsi="Times New Roman" w:cs="Times New Roman"/>
                <w:sz w:val="20"/>
                <w:szCs w:val="20"/>
              </w:rPr>
              <w:t xml:space="preserve"> common d</w:t>
            </w:r>
            <w:r w:rsidR="00F84170" w:rsidRPr="002E455E">
              <w:rPr>
                <w:rFonts w:ascii="Times New Roman" w:hAnsi="Times New Roman" w:cs="Times New Roman"/>
                <w:sz w:val="20"/>
                <w:szCs w:val="20"/>
              </w:rPr>
              <w:t xml:space="preserve">ata </w:t>
            </w:r>
            <w:r w:rsidRPr="002E455E">
              <w:rPr>
                <w:rFonts w:ascii="Times New Roman" w:hAnsi="Times New Roman" w:cs="Times New Roman"/>
                <w:sz w:val="20"/>
                <w:szCs w:val="20"/>
              </w:rPr>
              <w:t>dictionary for distributed analyses</w:t>
            </w: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6" w:type="pct"/>
          </w:tcPr>
          <w:p w:rsidR="00F84170" w:rsidRPr="002E455E" w:rsidRDefault="00F84170"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c>
          <w:tcPr>
            <w:tcW w:w="214" w:type="pct"/>
          </w:tcPr>
          <w:p w:rsidR="00F84170" w:rsidRPr="00E9376D" w:rsidRDefault="00F84170" w:rsidP="00DA2CAB">
            <w:pPr>
              <w:spacing w:line="220" w:lineRule="exact"/>
              <w:jc w:val="center"/>
              <w:rPr>
                <w:rFonts w:ascii="Times New Roman" w:hAnsi="Times New Roman" w:cs="Times New Roman"/>
                <w:sz w:val="20"/>
                <w:szCs w:val="20"/>
              </w:rPr>
            </w:pPr>
            <w:r w:rsidRPr="002E455E">
              <w:rPr>
                <w:rFonts w:ascii="Times New Roman" w:hAnsi="Times New Roman" w:cs="Times New Roman"/>
                <w:sz w:val="20"/>
                <w:szCs w:val="20"/>
              </w:rPr>
              <w:t>X</w:t>
            </w:r>
          </w:p>
        </w:tc>
      </w:tr>
      <w:tr w:rsidR="00F84170" w:rsidRPr="00E9376D" w:rsidTr="00BD79C3">
        <w:tc>
          <w:tcPr>
            <w:tcW w:w="2410" w:type="pct"/>
            <w:shd w:val="clear" w:color="auto" w:fill="auto"/>
          </w:tcPr>
          <w:p w:rsidR="00F84170" w:rsidRPr="00E9376D" w:rsidRDefault="0055179E"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Development of </w:t>
            </w:r>
            <w:r w:rsidR="00F84170">
              <w:rPr>
                <w:rFonts w:ascii="Times New Roman" w:hAnsi="Times New Roman" w:cs="Times New Roman"/>
                <w:sz w:val="20"/>
                <w:szCs w:val="20"/>
              </w:rPr>
              <w:t xml:space="preserve">detailed </w:t>
            </w:r>
            <w:r w:rsidR="00F84170" w:rsidRPr="003F2BA1">
              <w:rPr>
                <w:rFonts w:ascii="Times New Roman" w:hAnsi="Times New Roman" w:cs="Times New Roman"/>
                <w:sz w:val="20"/>
                <w:szCs w:val="20"/>
              </w:rPr>
              <w:t>statistical analysis plans</w:t>
            </w:r>
          </w:p>
        </w:tc>
        <w:tc>
          <w:tcPr>
            <w:tcW w:w="216" w:type="pct"/>
            <w:shd w:val="clear" w:color="auto" w:fill="FFFFFF" w:themeFill="background1"/>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shd w:val="clear" w:color="auto" w:fill="FFFFFF" w:themeFill="background1"/>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F84170" w:rsidRPr="00E9376D" w:rsidTr="00221673">
        <w:tc>
          <w:tcPr>
            <w:tcW w:w="5000" w:type="pct"/>
            <w:gridSpan w:val="13"/>
            <w:shd w:val="clear" w:color="auto" w:fill="A6A6A6" w:themeFill="background1" w:themeFillShade="A6"/>
          </w:tcPr>
          <w:p w:rsidR="00F84170" w:rsidRPr="00E9376D" w:rsidRDefault="00F84170" w:rsidP="00DA2CAB">
            <w:pPr>
              <w:spacing w:line="220" w:lineRule="exact"/>
              <w:jc w:val="center"/>
              <w:rPr>
                <w:rFonts w:ascii="Times New Roman" w:hAnsi="Times New Roman" w:cs="Times New Roman"/>
                <w:b/>
                <w:i/>
                <w:sz w:val="20"/>
                <w:szCs w:val="20"/>
              </w:rPr>
            </w:pPr>
            <w:r>
              <w:rPr>
                <w:rFonts w:ascii="Times New Roman" w:hAnsi="Times New Roman" w:cs="Times New Roman"/>
                <w:b/>
                <w:i/>
                <w:sz w:val="20"/>
                <w:szCs w:val="20"/>
              </w:rPr>
              <w:t>Year 2 (2019)</w:t>
            </w:r>
          </w:p>
        </w:tc>
      </w:tr>
      <w:tr w:rsidR="00313177" w:rsidRPr="00E9376D" w:rsidTr="00BD79C3">
        <w:tc>
          <w:tcPr>
            <w:tcW w:w="2410" w:type="pct"/>
            <w:shd w:val="clear" w:color="auto" w:fill="D9D9D9" w:themeFill="background1" w:themeFillShade="D9"/>
          </w:tcPr>
          <w:p w:rsidR="00313177" w:rsidRPr="00E9376D" w:rsidRDefault="00313177" w:rsidP="00DA2CAB">
            <w:pPr>
              <w:spacing w:line="220" w:lineRule="exact"/>
              <w:rPr>
                <w:rFonts w:ascii="Times New Roman" w:hAnsi="Times New Roman" w:cs="Times New Roman"/>
                <w:sz w:val="20"/>
                <w:szCs w:val="20"/>
              </w:rPr>
            </w:pP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Jan</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Feb</w:t>
            </w:r>
          </w:p>
        </w:tc>
        <w:tc>
          <w:tcPr>
            <w:tcW w:w="216" w:type="pct"/>
            <w:shd w:val="clear" w:color="auto" w:fill="D9D9D9" w:themeFill="background1" w:themeFillShade="D9"/>
          </w:tcPr>
          <w:p w:rsidR="00313177" w:rsidRPr="00DA2CAB" w:rsidRDefault="00313177" w:rsidP="00DA2CAB">
            <w:pPr>
              <w:spacing w:line="220" w:lineRule="exact"/>
              <w:jc w:val="center"/>
              <w:rPr>
                <w:rFonts w:ascii="Times New Roman" w:hAnsi="Times New Roman" w:cs="Times New Roman"/>
                <w:i/>
                <w:sz w:val="19"/>
                <w:szCs w:val="19"/>
              </w:rPr>
            </w:pPr>
            <w:r w:rsidRPr="00DA2CAB">
              <w:rPr>
                <w:rFonts w:ascii="Times New Roman" w:hAnsi="Times New Roman" w:cs="Times New Roman"/>
                <w:i/>
                <w:sz w:val="19"/>
                <w:szCs w:val="19"/>
              </w:rPr>
              <w:t>Mar</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Apr</w:t>
            </w:r>
          </w:p>
        </w:tc>
        <w:tc>
          <w:tcPr>
            <w:tcW w:w="216" w:type="pct"/>
            <w:shd w:val="clear" w:color="auto" w:fill="D9D9D9" w:themeFill="background1" w:themeFillShade="D9"/>
          </w:tcPr>
          <w:p w:rsidR="00313177" w:rsidRPr="00DA2CAB" w:rsidRDefault="00DA2CAB" w:rsidP="00DA2CAB">
            <w:pPr>
              <w:spacing w:line="220" w:lineRule="exact"/>
              <w:jc w:val="center"/>
              <w:rPr>
                <w:rFonts w:ascii="Times New Roman" w:hAnsi="Times New Roman" w:cs="Times New Roman"/>
                <w:i/>
                <w:sz w:val="19"/>
                <w:szCs w:val="19"/>
              </w:rPr>
            </w:pPr>
            <w:r w:rsidRPr="00DA2CAB">
              <w:rPr>
                <w:rFonts w:ascii="Times New Roman" w:hAnsi="Times New Roman" w:cs="Times New Roman"/>
                <w:i/>
                <w:sz w:val="19"/>
                <w:szCs w:val="19"/>
              </w:rPr>
              <w:t>May</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Jun</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Jul</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Aug</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Sep</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Oct</w:t>
            </w:r>
          </w:p>
        </w:tc>
        <w:tc>
          <w:tcPr>
            <w:tcW w:w="216"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Nov</w:t>
            </w:r>
          </w:p>
        </w:tc>
        <w:tc>
          <w:tcPr>
            <w:tcW w:w="214" w:type="pct"/>
            <w:shd w:val="clear" w:color="auto" w:fill="D9D9D9" w:themeFill="background1" w:themeFillShade="D9"/>
          </w:tcPr>
          <w:p w:rsidR="00313177" w:rsidRPr="00E9376D" w:rsidRDefault="00313177"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Dec</w:t>
            </w:r>
          </w:p>
        </w:tc>
      </w:tr>
      <w:tr w:rsidR="007F7E53" w:rsidRPr="00E9376D" w:rsidTr="00BD79C3">
        <w:tc>
          <w:tcPr>
            <w:tcW w:w="2410" w:type="pct"/>
            <w:shd w:val="clear" w:color="auto" w:fill="auto"/>
          </w:tcPr>
          <w:p w:rsidR="007F7E53" w:rsidRPr="00E9376D" w:rsidRDefault="007F7E53"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Annual report</w:t>
            </w: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6" w:type="pct"/>
          </w:tcPr>
          <w:p w:rsidR="007F7E53" w:rsidRPr="00E9376D" w:rsidRDefault="007F7E53" w:rsidP="00DA2CAB">
            <w:pPr>
              <w:spacing w:line="220" w:lineRule="exact"/>
              <w:jc w:val="center"/>
              <w:rPr>
                <w:rFonts w:ascii="Times New Roman" w:hAnsi="Times New Roman" w:cs="Times New Roman"/>
                <w:sz w:val="20"/>
                <w:szCs w:val="20"/>
              </w:rPr>
            </w:pPr>
          </w:p>
        </w:tc>
        <w:tc>
          <w:tcPr>
            <w:tcW w:w="214" w:type="pct"/>
          </w:tcPr>
          <w:p w:rsidR="007F7E53" w:rsidRPr="00E9376D" w:rsidRDefault="007F7E53" w:rsidP="00DA2CAB">
            <w:pPr>
              <w:spacing w:line="220" w:lineRule="exact"/>
              <w:jc w:val="center"/>
              <w:rPr>
                <w:rFonts w:ascii="Times New Roman" w:hAnsi="Times New Roman" w:cs="Times New Roman"/>
                <w:sz w:val="20"/>
                <w:szCs w:val="20"/>
              </w:rPr>
            </w:pPr>
          </w:p>
        </w:tc>
      </w:tr>
      <w:tr w:rsidR="00F84170" w:rsidRPr="00E9376D" w:rsidTr="00BD79C3">
        <w:tc>
          <w:tcPr>
            <w:tcW w:w="2410" w:type="pct"/>
            <w:shd w:val="clear" w:color="auto" w:fill="auto"/>
          </w:tcPr>
          <w:p w:rsidR="00F84170" w:rsidRPr="00E9376D" w:rsidRDefault="0055179E"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Recruitment</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F84170" w:rsidRPr="00E9376D" w:rsidRDefault="00F84170"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573B91" w:rsidRPr="00E9376D" w:rsidTr="00BD79C3">
        <w:tc>
          <w:tcPr>
            <w:tcW w:w="2410" w:type="pct"/>
            <w:shd w:val="clear" w:color="auto" w:fill="auto"/>
          </w:tcPr>
          <w:p w:rsidR="00573B91" w:rsidRPr="00E9376D" w:rsidRDefault="00573B91"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Mid-year report</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4" w:type="pct"/>
          </w:tcPr>
          <w:p w:rsidR="00573B91" w:rsidRPr="00E9376D" w:rsidRDefault="00573B91" w:rsidP="00DA2CAB">
            <w:pPr>
              <w:spacing w:line="220" w:lineRule="exact"/>
              <w:jc w:val="center"/>
              <w:rPr>
                <w:rFonts w:ascii="Times New Roman" w:hAnsi="Times New Roman" w:cs="Times New Roman"/>
                <w:sz w:val="20"/>
                <w:szCs w:val="20"/>
              </w:rPr>
            </w:pPr>
          </w:p>
        </w:tc>
      </w:tr>
      <w:tr w:rsidR="00573B91" w:rsidRPr="00E9376D" w:rsidTr="00BD79C3">
        <w:tc>
          <w:tcPr>
            <w:tcW w:w="2410" w:type="pct"/>
            <w:shd w:val="clear" w:color="auto" w:fill="auto"/>
          </w:tcPr>
          <w:p w:rsidR="00573B91" w:rsidRPr="00E9376D" w:rsidRDefault="00573B91"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Pilot query on drug utilization with administrative databases</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4" w:type="pct"/>
          </w:tcPr>
          <w:p w:rsidR="00573B91" w:rsidRPr="00E9376D" w:rsidRDefault="00573B91" w:rsidP="00DA2CAB">
            <w:pPr>
              <w:spacing w:line="220" w:lineRule="exact"/>
              <w:jc w:val="center"/>
              <w:rPr>
                <w:rFonts w:ascii="Times New Roman" w:hAnsi="Times New Roman" w:cs="Times New Roman"/>
                <w:sz w:val="20"/>
                <w:szCs w:val="20"/>
              </w:rPr>
            </w:pPr>
          </w:p>
        </w:tc>
      </w:tr>
      <w:tr w:rsidR="00573B91" w:rsidRPr="00E9376D" w:rsidTr="00BD79C3">
        <w:tc>
          <w:tcPr>
            <w:tcW w:w="2410" w:type="pct"/>
            <w:shd w:val="clear" w:color="auto" w:fill="auto"/>
          </w:tcPr>
          <w:p w:rsidR="00573B91" w:rsidRPr="00E9376D" w:rsidRDefault="00573B91"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Pilot query on discontinuation analysis</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573B91" w:rsidRPr="00E9376D" w:rsidRDefault="00573B91" w:rsidP="00DA2CAB">
            <w:pPr>
              <w:spacing w:line="220" w:lineRule="exact"/>
              <w:jc w:val="center"/>
              <w:rPr>
                <w:rFonts w:ascii="Times New Roman" w:hAnsi="Times New Roman" w:cs="Times New Roman"/>
                <w:sz w:val="20"/>
                <w:szCs w:val="20"/>
              </w:rPr>
            </w:pPr>
          </w:p>
        </w:tc>
      </w:tr>
      <w:tr w:rsidR="00573B91" w:rsidRPr="00E9376D" w:rsidTr="00BD79C3">
        <w:tc>
          <w:tcPr>
            <w:tcW w:w="2410" w:type="pct"/>
            <w:shd w:val="clear" w:color="auto" w:fill="auto"/>
          </w:tcPr>
          <w:p w:rsidR="00573B91" w:rsidRPr="00E9376D" w:rsidRDefault="00573B91"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Pilot query on treatment failure</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573B91" w:rsidRPr="00E9376D" w:rsidTr="00221673">
        <w:tc>
          <w:tcPr>
            <w:tcW w:w="5000" w:type="pct"/>
            <w:gridSpan w:val="13"/>
            <w:shd w:val="clear" w:color="auto" w:fill="A6A6A6" w:themeFill="background1" w:themeFillShade="A6"/>
          </w:tcPr>
          <w:p w:rsidR="00573B91" w:rsidRPr="00E9376D" w:rsidRDefault="00573B91" w:rsidP="00DA2CAB">
            <w:pPr>
              <w:spacing w:line="220" w:lineRule="exact"/>
              <w:jc w:val="center"/>
              <w:rPr>
                <w:rFonts w:ascii="Times New Roman" w:hAnsi="Times New Roman" w:cs="Times New Roman"/>
                <w:b/>
                <w:i/>
                <w:sz w:val="20"/>
                <w:szCs w:val="20"/>
              </w:rPr>
            </w:pPr>
            <w:r>
              <w:rPr>
                <w:rFonts w:ascii="Times New Roman" w:hAnsi="Times New Roman" w:cs="Times New Roman"/>
                <w:b/>
                <w:i/>
                <w:sz w:val="20"/>
                <w:szCs w:val="20"/>
              </w:rPr>
              <w:t>Year 3 (2020)</w:t>
            </w:r>
          </w:p>
        </w:tc>
      </w:tr>
      <w:tr w:rsidR="00DA2CAB" w:rsidRPr="00E9376D" w:rsidTr="00BD79C3">
        <w:tc>
          <w:tcPr>
            <w:tcW w:w="2410" w:type="pct"/>
            <w:shd w:val="clear" w:color="auto" w:fill="D9D9D9" w:themeFill="background1" w:themeFillShade="D9"/>
          </w:tcPr>
          <w:p w:rsidR="00DA2CAB" w:rsidRPr="00E9376D" w:rsidRDefault="00DA2CAB" w:rsidP="00DA2CAB">
            <w:pPr>
              <w:spacing w:line="220" w:lineRule="exact"/>
              <w:rPr>
                <w:rFonts w:ascii="Times New Roman" w:hAnsi="Times New Roman" w:cs="Times New Roman"/>
                <w:sz w:val="20"/>
                <w:szCs w:val="20"/>
              </w:rPr>
            </w:pP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Jan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Feb</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Mar</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Apr</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May</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Jun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Jul</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Aug</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Sep</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Oct</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Nov</w:t>
            </w:r>
          </w:p>
        </w:tc>
        <w:tc>
          <w:tcPr>
            <w:tcW w:w="214"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Dec</w:t>
            </w:r>
          </w:p>
        </w:tc>
      </w:tr>
      <w:tr w:rsidR="00573B91" w:rsidRPr="00E9376D" w:rsidTr="00BD79C3">
        <w:tc>
          <w:tcPr>
            <w:tcW w:w="2410" w:type="pct"/>
            <w:shd w:val="clear" w:color="auto" w:fill="auto"/>
          </w:tcPr>
          <w:p w:rsidR="00573B91" w:rsidRPr="00E9376D" w:rsidRDefault="00573B91"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Annual report</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p>
        </w:tc>
        <w:tc>
          <w:tcPr>
            <w:tcW w:w="214" w:type="pct"/>
          </w:tcPr>
          <w:p w:rsidR="00573B91" w:rsidRPr="00E9376D" w:rsidRDefault="00573B91" w:rsidP="00DA2CAB">
            <w:pPr>
              <w:spacing w:line="220" w:lineRule="exact"/>
              <w:jc w:val="center"/>
              <w:rPr>
                <w:rFonts w:ascii="Times New Roman" w:hAnsi="Times New Roman" w:cs="Times New Roman"/>
                <w:sz w:val="20"/>
                <w:szCs w:val="20"/>
              </w:rPr>
            </w:pPr>
          </w:p>
        </w:tc>
      </w:tr>
      <w:tr w:rsidR="00573B91" w:rsidRPr="00E9376D" w:rsidTr="00BD79C3">
        <w:tc>
          <w:tcPr>
            <w:tcW w:w="2410" w:type="pct"/>
            <w:shd w:val="clear" w:color="auto" w:fill="auto"/>
          </w:tcPr>
          <w:p w:rsidR="00573B91" w:rsidRPr="00E9376D" w:rsidRDefault="00573B91"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 xml:space="preserve">Recruitment </w:t>
            </w:r>
            <w:r w:rsidR="0055179E">
              <w:rPr>
                <w:rFonts w:ascii="Times New Roman" w:hAnsi="Times New Roman" w:cs="Times New Roman"/>
                <w:sz w:val="20"/>
                <w:szCs w:val="20"/>
              </w:rPr>
              <w:t xml:space="preserve"> </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573B91" w:rsidRPr="00E9376D" w:rsidRDefault="00573B91"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55179E" w:rsidRPr="00E9376D" w:rsidTr="00BD79C3">
        <w:tc>
          <w:tcPr>
            <w:tcW w:w="2410" w:type="pct"/>
            <w:shd w:val="clear" w:color="auto" w:fill="auto"/>
          </w:tcPr>
          <w:p w:rsidR="0055179E" w:rsidRPr="00E9376D" w:rsidRDefault="0055179E"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Pilot query on clinical outcomes and patient-reported outcomes</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shd w:val="clear" w:color="auto" w:fill="auto"/>
          </w:tcPr>
          <w:p w:rsidR="0055179E" w:rsidRPr="00E9376D" w:rsidRDefault="0055179E"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DA2CAB" w:rsidRPr="00E9376D" w:rsidTr="00BD79C3">
        <w:tc>
          <w:tcPr>
            <w:tcW w:w="2410" w:type="pct"/>
            <w:shd w:val="clear" w:color="auto" w:fill="auto"/>
          </w:tcPr>
          <w:p w:rsidR="00DA2CAB"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Stakeholder workshop</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Mid-year report</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Interim analysis with clinical cohort data</w:t>
            </w: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shd w:val="clear" w:color="auto" w:fill="auto"/>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DA2CAB" w:rsidRPr="00E9376D" w:rsidTr="00221673">
        <w:tc>
          <w:tcPr>
            <w:tcW w:w="5000" w:type="pct"/>
            <w:gridSpan w:val="13"/>
            <w:shd w:val="clear" w:color="auto" w:fill="A6A6A6" w:themeFill="background1" w:themeFillShade="A6"/>
          </w:tcPr>
          <w:p w:rsidR="00DA2CAB" w:rsidRPr="00E9376D" w:rsidRDefault="00DA2CAB" w:rsidP="00DA2CAB">
            <w:pPr>
              <w:spacing w:line="220" w:lineRule="exact"/>
              <w:jc w:val="center"/>
              <w:rPr>
                <w:rFonts w:ascii="Times New Roman" w:hAnsi="Times New Roman" w:cs="Times New Roman"/>
                <w:b/>
                <w:i/>
                <w:sz w:val="20"/>
                <w:szCs w:val="20"/>
              </w:rPr>
            </w:pPr>
            <w:r>
              <w:rPr>
                <w:rFonts w:ascii="Times New Roman" w:hAnsi="Times New Roman" w:cs="Times New Roman"/>
                <w:b/>
                <w:i/>
                <w:sz w:val="20"/>
                <w:szCs w:val="20"/>
              </w:rPr>
              <w:t>Year 4 (2021)</w:t>
            </w:r>
          </w:p>
        </w:tc>
      </w:tr>
      <w:tr w:rsidR="00DA2CAB" w:rsidRPr="00E9376D" w:rsidTr="00BD79C3">
        <w:tc>
          <w:tcPr>
            <w:tcW w:w="2410" w:type="pct"/>
            <w:shd w:val="clear" w:color="auto" w:fill="D9D9D9" w:themeFill="background1" w:themeFillShade="D9"/>
          </w:tcPr>
          <w:p w:rsidR="00DA2CAB" w:rsidRPr="00E9376D" w:rsidRDefault="00DA2CAB" w:rsidP="00DA2CAB">
            <w:pPr>
              <w:spacing w:line="220" w:lineRule="exact"/>
              <w:rPr>
                <w:rFonts w:ascii="Times New Roman" w:hAnsi="Times New Roman" w:cs="Times New Roman"/>
                <w:sz w:val="20"/>
                <w:szCs w:val="20"/>
              </w:rPr>
            </w:pP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Jan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Feb</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Mar</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Apr</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May</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Jun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Jul</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Aug</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Sep</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Oct</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Nov</w:t>
            </w:r>
          </w:p>
        </w:tc>
        <w:tc>
          <w:tcPr>
            <w:tcW w:w="214"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Dec</w:t>
            </w: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Annual report</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68343A" w:rsidRPr="00E9376D" w:rsidTr="00BD79C3">
        <w:tc>
          <w:tcPr>
            <w:tcW w:w="2410" w:type="pct"/>
            <w:shd w:val="clear" w:color="auto" w:fill="auto"/>
          </w:tcPr>
          <w:p w:rsidR="0068343A" w:rsidRPr="00E9376D" w:rsidRDefault="0068343A" w:rsidP="00DA2CAB">
            <w:pPr>
              <w:spacing w:line="220" w:lineRule="exact"/>
              <w:rPr>
                <w:rFonts w:ascii="Times New Roman" w:hAnsi="Times New Roman" w:cs="Times New Roman"/>
                <w:sz w:val="20"/>
                <w:szCs w:val="20"/>
              </w:rPr>
            </w:pPr>
            <w:r>
              <w:rPr>
                <w:rFonts w:ascii="Times New Roman" w:hAnsi="Times New Roman" w:cs="Times New Roman"/>
                <w:sz w:val="20"/>
                <w:szCs w:val="20"/>
              </w:rPr>
              <w:t>Recruitment</w:t>
            </w: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6" w:type="pct"/>
          </w:tcPr>
          <w:p w:rsidR="0068343A" w:rsidRDefault="0068343A" w:rsidP="00DA2CAB">
            <w:pPr>
              <w:spacing w:line="220" w:lineRule="exact"/>
              <w:jc w:val="center"/>
              <w:rPr>
                <w:rFonts w:ascii="Times New Roman" w:hAnsi="Times New Roman" w:cs="Times New Roman"/>
                <w:sz w:val="20"/>
                <w:szCs w:val="20"/>
              </w:rPr>
            </w:pP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6" w:type="pct"/>
          </w:tcPr>
          <w:p w:rsidR="0068343A" w:rsidRPr="00E9376D" w:rsidRDefault="0068343A" w:rsidP="00DA2CAB">
            <w:pPr>
              <w:spacing w:line="220" w:lineRule="exact"/>
              <w:jc w:val="center"/>
              <w:rPr>
                <w:rFonts w:ascii="Times New Roman" w:hAnsi="Times New Roman" w:cs="Times New Roman"/>
                <w:sz w:val="20"/>
                <w:szCs w:val="20"/>
              </w:rPr>
            </w:pPr>
          </w:p>
        </w:tc>
        <w:tc>
          <w:tcPr>
            <w:tcW w:w="214" w:type="pct"/>
          </w:tcPr>
          <w:p w:rsidR="0068343A" w:rsidRPr="00E9376D" w:rsidRDefault="0068343A"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Interim analysis with clinical cohort data</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Mid-year report</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Additional analysis with clinical cohort data</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DA2CAB" w:rsidRPr="00E9376D" w:rsidTr="00221673">
        <w:tc>
          <w:tcPr>
            <w:tcW w:w="5000" w:type="pct"/>
            <w:gridSpan w:val="13"/>
            <w:shd w:val="clear" w:color="auto" w:fill="A6A6A6" w:themeFill="background1" w:themeFillShade="A6"/>
          </w:tcPr>
          <w:p w:rsidR="00DA2CAB" w:rsidRPr="00E9376D" w:rsidRDefault="00DA2CAB" w:rsidP="00DA2CAB">
            <w:pPr>
              <w:spacing w:line="220" w:lineRule="exact"/>
              <w:jc w:val="center"/>
              <w:rPr>
                <w:rFonts w:ascii="Times New Roman" w:hAnsi="Times New Roman" w:cs="Times New Roman"/>
                <w:b/>
                <w:i/>
                <w:sz w:val="20"/>
                <w:szCs w:val="20"/>
              </w:rPr>
            </w:pPr>
            <w:r>
              <w:rPr>
                <w:rFonts w:ascii="Times New Roman" w:hAnsi="Times New Roman" w:cs="Times New Roman"/>
                <w:b/>
                <w:i/>
                <w:sz w:val="20"/>
                <w:szCs w:val="20"/>
              </w:rPr>
              <w:t>Year 5 (2022)</w:t>
            </w:r>
          </w:p>
        </w:tc>
      </w:tr>
      <w:tr w:rsidR="00DA2CAB" w:rsidRPr="00E9376D" w:rsidTr="00BD79C3">
        <w:tc>
          <w:tcPr>
            <w:tcW w:w="2410" w:type="pct"/>
            <w:shd w:val="clear" w:color="auto" w:fill="D9D9D9" w:themeFill="background1" w:themeFillShade="D9"/>
          </w:tcPr>
          <w:p w:rsidR="00DA2CAB" w:rsidRPr="00E9376D" w:rsidRDefault="00DA2CAB" w:rsidP="00DA2CAB">
            <w:pPr>
              <w:spacing w:line="220" w:lineRule="exact"/>
              <w:rPr>
                <w:rFonts w:ascii="Times New Roman" w:hAnsi="Times New Roman" w:cs="Times New Roman"/>
                <w:sz w:val="20"/>
                <w:szCs w:val="20"/>
              </w:rPr>
            </w:pP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Jan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Feb</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Mar</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Apr</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DA2CAB">
              <w:rPr>
                <w:rFonts w:ascii="Times New Roman" w:hAnsi="Times New Roman" w:cs="Times New Roman"/>
                <w:i/>
                <w:sz w:val="19"/>
                <w:szCs w:val="19"/>
              </w:rPr>
              <w:t>May</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sidRPr="002E455E">
              <w:rPr>
                <w:rFonts w:ascii="Times New Roman" w:hAnsi="Times New Roman" w:cs="Times New Roman"/>
                <w:i/>
                <w:sz w:val="20"/>
                <w:szCs w:val="20"/>
              </w:rPr>
              <w:t>Jun</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Jul</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Aug</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Sep</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Oct</w:t>
            </w:r>
          </w:p>
        </w:tc>
        <w:tc>
          <w:tcPr>
            <w:tcW w:w="216"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Nov</w:t>
            </w:r>
          </w:p>
        </w:tc>
        <w:tc>
          <w:tcPr>
            <w:tcW w:w="214" w:type="pct"/>
            <w:shd w:val="clear" w:color="auto" w:fill="D9D9D9" w:themeFill="background1" w:themeFillShade="D9"/>
          </w:tcPr>
          <w:p w:rsidR="00DA2CAB" w:rsidRPr="00E9376D" w:rsidRDefault="00DA2CAB" w:rsidP="00DA2CAB">
            <w:pPr>
              <w:spacing w:line="220" w:lineRule="exact"/>
              <w:jc w:val="center"/>
              <w:rPr>
                <w:rFonts w:ascii="Times New Roman" w:hAnsi="Times New Roman" w:cs="Times New Roman"/>
                <w:i/>
                <w:sz w:val="20"/>
                <w:szCs w:val="20"/>
              </w:rPr>
            </w:pPr>
            <w:r>
              <w:rPr>
                <w:rFonts w:ascii="Times New Roman" w:hAnsi="Times New Roman" w:cs="Times New Roman"/>
                <w:i/>
                <w:sz w:val="20"/>
                <w:szCs w:val="20"/>
              </w:rPr>
              <w:t>Dec</w:t>
            </w: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Annual report</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Additional analysis with clinical cohort data</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r>
      <w:tr w:rsidR="00DA2CAB" w:rsidRPr="00E9376D" w:rsidTr="00BD79C3">
        <w:tc>
          <w:tcPr>
            <w:tcW w:w="2410" w:type="pct"/>
            <w:shd w:val="clear" w:color="auto" w:fill="auto"/>
          </w:tcPr>
          <w:p w:rsidR="00DA2CAB" w:rsidRPr="00E9376D"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t xml:space="preserve">   Mid-year report</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BD79C3">
        <w:tc>
          <w:tcPr>
            <w:tcW w:w="2410" w:type="pct"/>
            <w:shd w:val="clear" w:color="auto" w:fill="auto"/>
          </w:tcPr>
          <w:p w:rsidR="00DA2CAB" w:rsidRDefault="00DA2CAB" w:rsidP="00DA2CAB">
            <w:pPr>
              <w:spacing w:line="220" w:lineRule="exact"/>
              <w:rPr>
                <w:rFonts w:ascii="Times New Roman" w:hAnsi="Times New Roman" w:cs="Times New Roman"/>
                <w:sz w:val="20"/>
                <w:szCs w:val="20"/>
              </w:rPr>
            </w:pPr>
            <w:r>
              <w:rPr>
                <w:rFonts w:ascii="Times New Roman" w:hAnsi="Times New Roman" w:cs="Times New Roman"/>
                <w:sz w:val="20"/>
                <w:szCs w:val="20"/>
              </w:rPr>
              <w:lastRenderedPageBreak/>
              <w:t>Stakeholder workshop</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r>
              <w:rPr>
                <w:rFonts w:ascii="Times New Roman" w:hAnsi="Times New Roman" w:cs="Times New Roman"/>
                <w:sz w:val="20"/>
                <w:szCs w:val="20"/>
              </w:rPr>
              <w:t>x</w:t>
            </w: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6" w:type="pct"/>
          </w:tcPr>
          <w:p w:rsidR="00DA2CAB" w:rsidRPr="00E9376D" w:rsidRDefault="00DA2CAB" w:rsidP="00DA2CAB">
            <w:pPr>
              <w:spacing w:line="220" w:lineRule="exact"/>
              <w:jc w:val="center"/>
              <w:rPr>
                <w:rFonts w:ascii="Times New Roman" w:hAnsi="Times New Roman" w:cs="Times New Roman"/>
                <w:sz w:val="20"/>
                <w:szCs w:val="20"/>
              </w:rPr>
            </w:pPr>
          </w:p>
        </w:tc>
        <w:tc>
          <w:tcPr>
            <w:tcW w:w="214" w:type="pct"/>
          </w:tcPr>
          <w:p w:rsidR="00DA2CAB" w:rsidRPr="00E9376D" w:rsidRDefault="00DA2CAB" w:rsidP="00DA2CAB">
            <w:pPr>
              <w:spacing w:line="220" w:lineRule="exact"/>
              <w:jc w:val="center"/>
              <w:rPr>
                <w:rFonts w:ascii="Times New Roman" w:hAnsi="Times New Roman" w:cs="Times New Roman"/>
                <w:sz w:val="20"/>
                <w:szCs w:val="20"/>
              </w:rPr>
            </w:pPr>
          </w:p>
        </w:tc>
      </w:tr>
      <w:tr w:rsidR="00DA2CAB" w:rsidRPr="00E9376D" w:rsidTr="00DA2CAB">
        <w:trPr>
          <w:trHeight w:val="52"/>
        </w:trPr>
        <w:tc>
          <w:tcPr>
            <w:tcW w:w="2410" w:type="pct"/>
            <w:tcBorders>
              <w:bottom w:val="single" w:sz="4" w:space="0" w:color="auto"/>
            </w:tcBorders>
            <w:shd w:val="clear" w:color="auto" w:fill="auto"/>
          </w:tcPr>
          <w:p w:rsidR="00DA2CAB" w:rsidRPr="00E9376D" w:rsidRDefault="00DA2CAB" w:rsidP="00DA2CAB">
            <w:pPr>
              <w:rPr>
                <w:rFonts w:ascii="Times New Roman" w:hAnsi="Times New Roman" w:cs="Times New Roman"/>
                <w:sz w:val="20"/>
                <w:szCs w:val="20"/>
              </w:rPr>
            </w:pPr>
            <w:r w:rsidRPr="00E9376D">
              <w:rPr>
                <w:rFonts w:ascii="Times New Roman" w:hAnsi="Times New Roman" w:cs="Times New Roman"/>
                <w:sz w:val="20"/>
                <w:szCs w:val="20"/>
              </w:rPr>
              <w:t xml:space="preserve">   </w:t>
            </w:r>
            <w:r>
              <w:rPr>
                <w:rFonts w:ascii="Times New Roman" w:hAnsi="Times New Roman" w:cs="Times New Roman"/>
                <w:sz w:val="20"/>
                <w:szCs w:val="20"/>
              </w:rPr>
              <w:t>Final report</w:t>
            </w: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6"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r w:rsidRPr="00E9376D">
              <w:rPr>
                <w:rFonts w:ascii="Times New Roman" w:hAnsi="Times New Roman" w:cs="Times New Roman"/>
                <w:sz w:val="20"/>
                <w:szCs w:val="20"/>
              </w:rPr>
              <w:t>X</w:t>
            </w:r>
          </w:p>
        </w:tc>
        <w:tc>
          <w:tcPr>
            <w:tcW w:w="214" w:type="pct"/>
            <w:tcBorders>
              <w:bottom w:val="single" w:sz="4" w:space="0" w:color="auto"/>
            </w:tcBorders>
          </w:tcPr>
          <w:p w:rsidR="00DA2CAB" w:rsidRPr="00E9376D" w:rsidRDefault="00DA2CAB" w:rsidP="00DA2CAB">
            <w:pPr>
              <w:jc w:val="center"/>
              <w:rPr>
                <w:rFonts w:ascii="Times New Roman" w:hAnsi="Times New Roman" w:cs="Times New Roman"/>
                <w:sz w:val="20"/>
                <w:szCs w:val="20"/>
              </w:rPr>
            </w:pPr>
            <w:r w:rsidRPr="00E9376D">
              <w:rPr>
                <w:rFonts w:ascii="Times New Roman" w:hAnsi="Times New Roman" w:cs="Times New Roman"/>
                <w:sz w:val="20"/>
                <w:szCs w:val="20"/>
              </w:rPr>
              <w:t>X</w:t>
            </w:r>
          </w:p>
        </w:tc>
      </w:tr>
    </w:tbl>
    <w:p w:rsidR="00221673" w:rsidRDefault="00221673">
      <w:pPr>
        <w:spacing w:line="276" w:lineRule="auto"/>
        <w:jc w:val="both"/>
        <w:rPr>
          <w:rFonts w:ascii="Times New Roman" w:hAnsi="Times New Roman" w:cs="Times New Roman"/>
        </w:rPr>
      </w:pPr>
    </w:p>
    <w:sectPr w:rsidR="00221673" w:rsidSect="004F7A4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41" w:rsidRDefault="00464241" w:rsidP="00E767BD">
      <w:pPr>
        <w:spacing w:after="0" w:line="240" w:lineRule="auto"/>
      </w:pPr>
      <w:r>
        <w:separator/>
      </w:r>
    </w:p>
  </w:endnote>
  <w:endnote w:type="continuationSeparator" w:id="0">
    <w:p w:rsidR="00464241" w:rsidRDefault="00464241" w:rsidP="00E7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99719"/>
      <w:docPartObj>
        <w:docPartGallery w:val="Page Numbers (Bottom of Page)"/>
        <w:docPartUnique/>
      </w:docPartObj>
    </w:sdtPr>
    <w:sdtEndPr>
      <w:rPr>
        <w:noProof/>
      </w:rPr>
    </w:sdtEndPr>
    <w:sdtContent>
      <w:p w:rsidR="00C76778" w:rsidRDefault="00C76778" w:rsidP="0050321D">
        <w:pPr>
          <w:pStyle w:val="Footer"/>
        </w:pPr>
        <w:r w:rsidRPr="00E935D2">
          <w:rPr>
            <w:rFonts w:ascii="Times New Roman" w:hAnsi="Times New Roman" w:cs="Times New Roman"/>
          </w:rPr>
          <w:t>V</w:t>
        </w:r>
        <w:r>
          <w:rPr>
            <w:rFonts w:ascii="Times New Roman" w:hAnsi="Times New Roman" w:cs="Times New Roman"/>
          </w:rPr>
          <w:t>3</w:t>
        </w:r>
        <w:r w:rsidRPr="00E935D2">
          <w:rPr>
            <w:rFonts w:ascii="Times New Roman" w:hAnsi="Times New Roman" w:cs="Times New Roman"/>
          </w:rPr>
          <w:t xml:space="preserve"> </w:t>
        </w:r>
        <w:r>
          <w:rPr>
            <w:rFonts w:ascii="Times New Roman" w:hAnsi="Times New Roman" w:cs="Times New Roman"/>
          </w:rPr>
          <w:t>0</w:t>
        </w:r>
        <w:r w:rsidR="002676D9">
          <w:rPr>
            <w:rFonts w:ascii="Times New Roman" w:hAnsi="Times New Roman" w:cs="Times New Roman"/>
          </w:rPr>
          <w:t>7</w:t>
        </w:r>
        <w:r>
          <w:rPr>
            <w:rFonts w:ascii="Times New Roman" w:hAnsi="Times New Roman" w:cs="Times New Roman"/>
          </w:rPr>
          <w:t>MAY2019</w:t>
        </w:r>
        <w:r w:rsidRPr="0050321D">
          <w:tab/>
        </w:r>
        <w:r w:rsidRPr="0050321D">
          <w:tab/>
        </w:r>
        <w:r>
          <w:fldChar w:fldCharType="begin"/>
        </w:r>
        <w:r>
          <w:instrText xml:space="preserve"> PAGE   \* MERGEFORMAT </w:instrText>
        </w:r>
        <w:r>
          <w:fldChar w:fldCharType="separate"/>
        </w:r>
        <w:r w:rsidR="0032384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41" w:rsidRDefault="00464241" w:rsidP="00E767BD">
      <w:pPr>
        <w:spacing w:after="0" w:line="240" w:lineRule="auto"/>
      </w:pPr>
      <w:r>
        <w:separator/>
      </w:r>
    </w:p>
  </w:footnote>
  <w:footnote w:type="continuationSeparator" w:id="0">
    <w:p w:rsidR="00464241" w:rsidRDefault="00464241" w:rsidP="00E767BD">
      <w:pPr>
        <w:spacing w:after="0" w:line="240" w:lineRule="auto"/>
      </w:pPr>
      <w:r>
        <w:continuationSeparator/>
      </w:r>
    </w:p>
  </w:footnote>
  <w:footnote w:id="1">
    <w:p w:rsidR="00C76778" w:rsidRPr="00DA0683" w:rsidRDefault="00C76778">
      <w:pPr>
        <w:pStyle w:val="FootnoteText"/>
        <w:rPr>
          <w:rFonts w:ascii="Times New Roman" w:hAnsi="Times New Roman" w:cs="Times New Roman"/>
          <w:sz w:val="18"/>
          <w:szCs w:val="18"/>
        </w:rPr>
      </w:pPr>
      <w:r w:rsidRPr="00DA0683">
        <w:rPr>
          <w:rStyle w:val="FootnoteReference"/>
          <w:rFonts w:ascii="Times New Roman" w:hAnsi="Times New Roman" w:cs="Times New Roman"/>
          <w:sz w:val="18"/>
          <w:szCs w:val="18"/>
        </w:rPr>
        <w:footnoteRef/>
      </w:r>
      <w:r w:rsidRPr="00DA0683">
        <w:rPr>
          <w:rFonts w:ascii="Times New Roman" w:hAnsi="Times New Roman" w:cs="Times New Roman"/>
          <w:sz w:val="18"/>
          <w:szCs w:val="18"/>
        </w:rPr>
        <w:t xml:space="preserve"> Market Intelligence Report: Biologic Response Modifier Agents, 2015. http://www.pmprb-cepmb.gc.ca/CMFiles/NPDUIS/PMBRB_16-240_MarketIntelligenceReport_E.pdf</w:t>
      </w:r>
    </w:p>
  </w:footnote>
  <w:footnote w:id="2">
    <w:p w:rsidR="00C76778" w:rsidRPr="00496506" w:rsidRDefault="00C76778" w:rsidP="0021127C">
      <w:pPr>
        <w:pStyle w:val="FootnoteText"/>
        <w:rPr>
          <w:rFonts w:ascii="Times New Roman" w:hAnsi="Times New Roman" w:cs="Times New Roman"/>
          <w:sz w:val="18"/>
          <w:szCs w:val="18"/>
        </w:rPr>
      </w:pPr>
      <w:r w:rsidRPr="00496506">
        <w:rPr>
          <w:rStyle w:val="FootnoteReference"/>
          <w:rFonts w:ascii="Times New Roman" w:hAnsi="Times New Roman" w:cs="Times New Roman"/>
          <w:sz w:val="18"/>
          <w:szCs w:val="18"/>
        </w:rPr>
        <w:footnoteRef/>
      </w:r>
      <w:r w:rsidRPr="00496506">
        <w:rPr>
          <w:rFonts w:ascii="Times New Roman" w:hAnsi="Times New Roman" w:cs="Times New Roman"/>
          <w:sz w:val="18"/>
          <w:szCs w:val="18"/>
        </w:rPr>
        <w:t xml:space="preserve"> Food and Drug Administration. Guidance for industry. Scientific considerations in demonstrating </w:t>
      </w:r>
      <w:proofErr w:type="spellStart"/>
      <w:r w:rsidRPr="00496506">
        <w:rPr>
          <w:rFonts w:ascii="Times New Roman" w:hAnsi="Times New Roman" w:cs="Times New Roman"/>
          <w:sz w:val="18"/>
          <w:szCs w:val="18"/>
        </w:rPr>
        <w:t>biosimilarity</w:t>
      </w:r>
      <w:proofErr w:type="spellEnd"/>
      <w:r w:rsidRPr="00496506">
        <w:rPr>
          <w:rFonts w:ascii="Times New Roman" w:hAnsi="Times New Roman" w:cs="Times New Roman"/>
          <w:sz w:val="18"/>
          <w:szCs w:val="18"/>
        </w:rPr>
        <w:t xml:space="preserve"> to a reference product. April 2015. https://www.fda.gov/downloads/drugs/guidances/ucm291128.pdf</w:t>
      </w:r>
    </w:p>
  </w:footnote>
  <w:footnote w:id="3">
    <w:p w:rsidR="00C76778" w:rsidRPr="00496506" w:rsidRDefault="00C76778" w:rsidP="0021127C">
      <w:pPr>
        <w:pStyle w:val="FootnoteText"/>
        <w:rPr>
          <w:rFonts w:ascii="Times New Roman" w:hAnsi="Times New Roman" w:cs="Times New Roman"/>
          <w:sz w:val="18"/>
          <w:szCs w:val="18"/>
        </w:rPr>
      </w:pPr>
      <w:r w:rsidRPr="00496506">
        <w:rPr>
          <w:rStyle w:val="FootnoteReference"/>
          <w:rFonts w:ascii="Times New Roman" w:hAnsi="Times New Roman" w:cs="Times New Roman"/>
          <w:sz w:val="18"/>
          <w:szCs w:val="18"/>
        </w:rPr>
        <w:footnoteRef/>
      </w:r>
      <w:r w:rsidRPr="00496506">
        <w:rPr>
          <w:rFonts w:ascii="Times New Roman" w:hAnsi="Times New Roman" w:cs="Times New Roman"/>
          <w:sz w:val="18"/>
          <w:szCs w:val="18"/>
        </w:rPr>
        <w:t xml:space="preserve"> European Medicines Agency. Guideline on similar biological medicinal products containing biotechnology-derived proteins as active substance: non-clinical and clinical issues on similar biological medicinal products. December 2014. http://www.ema.europa.eu/docs/en_GB/document_library/Scientific_guideline/2015/01/</w:t>
      </w:r>
    </w:p>
    <w:p w:rsidR="00C76778" w:rsidRPr="00496506" w:rsidRDefault="00C76778" w:rsidP="0021127C">
      <w:pPr>
        <w:pStyle w:val="FootnoteText"/>
        <w:rPr>
          <w:rFonts w:ascii="Times New Roman" w:hAnsi="Times New Roman" w:cs="Times New Roman"/>
          <w:sz w:val="18"/>
          <w:szCs w:val="18"/>
        </w:rPr>
      </w:pPr>
      <w:r w:rsidRPr="00496506">
        <w:rPr>
          <w:rFonts w:ascii="Times New Roman" w:hAnsi="Times New Roman" w:cs="Times New Roman"/>
          <w:sz w:val="18"/>
          <w:szCs w:val="18"/>
        </w:rPr>
        <w:t>WC500180219.pdf</w:t>
      </w:r>
    </w:p>
  </w:footnote>
  <w:footnote w:id="4">
    <w:p w:rsidR="00C76778" w:rsidRPr="00EC42B4" w:rsidRDefault="00C76778" w:rsidP="0021127C">
      <w:pPr>
        <w:pStyle w:val="FootnoteText"/>
        <w:rPr>
          <w:rFonts w:ascii="Times New Roman" w:hAnsi="Times New Roman" w:cs="Times New Roman"/>
          <w:sz w:val="18"/>
          <w:szCs w:val="18"/>
        </w:rPr>
      </w:pPr>
      <w:r w:rsidRPr="00496506">
        <w:rPr>
          <w:rStyle w:val="FootnoteReference"/>
          <w:rFonts w:ascii="Times New Roman" w:hAnsi="Times New Roman" w:cs="Times New Roman"/>
          <w:sz w:val="18"/>
          <w:szCs w:val="18"/>
        </w:rPr>
        <w:footnoteRef/>
      </w:r>
      <w:r w:rsidRPr="00496506">
        <w:rPr>
          <w:rFonts w:ascii="Times New Roman" w:hAnsi="Times New Roman" w:cs="Times New Roman"/>
          <w:sz w:val="18"/>
          <w:szCs w:val="18"/>
        </w:rPr>
        <w:t xml:space="preserve"> </w:t>
      </w:r>
      <w:r w:rsidRPr="00EC42B4">
        <w:rPr>
          <w:rFonts w:ascii="Times New Roman" w:hAnsi="Times New Roman" w:cs="Times New Roman"/>
          <w:sz w:val="18"/>
          <w:szCs w:val="18"/>
        </w:rPr>
        <w:t>Guidance Document: Information and Submission Requirements for Biosimilar Biologic Drugs. November 2016. https://www.canada.ca/content/dam/hc-sc/migration/hc-sc/dhp-mps/alt_formats/pdf/brgtherap/applic-demande/guides/seb-pbu/seb-pbu-2016-eng.pdf</w:t>
      </w:r>
    </w:p>
  </w:footnote>
  <w:footnote w:id="5">
    <w:p w:rsidR="00C76778" w:rsidRPr="00EC42B4" w:rsidRDefault="00C76778" w:rsidP="0021127C">
      <w:pPr>
        <w:pStyle w:val="FootnoteText"/>
        <w:rPr>
          <w:rFonts w:ascii="Times New Roman" w:hAnsi="Times New Roman" w:cs="Times New Roman"/>
          <w:sz w:val="18"/>
          <w:szCs w:val="18"/>
        </w:rPr>
      </w:pPr>
      <w:r w:rsidRPr="00EC42B4">
        <w:rPr>
          <w:rStyle w:val="FootnoteReference"/>
          <w:rFonts w:ascii="Times New Roman" w:hAnsi="Times New Roman" w:cs="Times New Roman"/>
          <w:sz w:val="18"/>
          <w:szCs w:val="18"/>
        </w:rPr>
        <w:footnoteRef/>
      </w:r>
      <w:r w:rsidRPr="00EC42B4">
        <w:rPr>
          <w:rFonts w:ascii="Times New Roman" w:hAnsi="Times New Roman" w:cs="Times New Roman"/>
          <w:sz w:val="18"/>
          <w:szCs w:val="18"/>
        </w:rPr>
        <w:t xml:space="preserve"> Isakov, L., B. Jin, and I.A. Jacobs, Statistical Primer on Biosimilar Clinical Development. Am J </w:t>
      </w:r>
      <w:proofErr w:type="spellStart"/>
      <w:r w:rsidRPr="00EC42B4">
        <w:rPr>
          <w:rFonts w:ascii="Times New Roman" w:hAnsi="Times New Roman" w:cs="Times New Roman"/>
          <w:sz w:val="18"/>
          <w:szCs w:val="18"/>
        </w:rPr>
        <w:t>Ther</w:t>
      </w:r>
      <w:proofErr w:type="spellEnd"/>
      <w:r w:rsidRPr="00EC42B4">
        <w:rPr>
          <w:rFonts w:ascii="Times New Roman" w:hAnsi="Times New Roman" w:cs="Times New Roman"/>
          <w:sz w:val="18"/>
          <w:szCs w:val="18"/>
        </w:rPr>
        <w:t>, 2016. 23(6): p. e1903-e1910.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78" w:rsidRPr="00DD4FBB" w:rsidRDefault="00C76778" w:rsidP="00FD329D">
    <w:pPr>
      <w:spacing w:after="0" w:line="240" w:lineRule="auto"/>
      <w:rPr>
        <w:rFonts w:ascii="Times New Roman" w:hAnsi="Times New Roman" w:cs="Times New Roman"/>
        <w:b/>
        <w:sz w:val="24"/>
        <w:szCs w:val="24"/>
      </w:rPr>
    </w:pPr>
    <w:r w:rsidRPr="0065568C">
      <w:rPr>
        <w:rFonts w:ascii="Times New Roman" w:hAnsi="Times New Roman" w:cs="Times New Roman"/>
        <w:b/>
        <w:sz w:val="24"/>
        <w:szCs w:val="24"/>
      </w:rPr>
      <w:t>Study Protocol: Comparative Effectiveness and Safety of Biosimilar and Legacy Drugs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580"/>
    <w:multiLevelType w:val="hybridMultilevel"/>
    <w:tmpl w:val="23747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5968E5"/>
    <w:multiLevelType w:val="hybridMultilevel"/>
    <w:tmpl w:val="B6A09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D21AF3"/>
    <w:multiLevelType w:val="hybridMultilevel"/>
    <w:tmpl w:val="38825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5D1519"/>
    <w:multiLevelType w:val="hybridMultilevel"/>
    <w:tmpl w:val="0BB8F9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913D8C"/>
    <w:multiLevelType w:val="hybridMultilevel"/>
    <w:tmpl w:val="A97A5430"/>
    <w:lvl w:ilvl="0" w:tplc="0E3C887E">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01098E"/>
    <w:multiLevelType w:val="hybridMultilevel"/>
    <w:tmpl w:val="D28601A2"/>
    <w:lvl w:ilvl="0" w:tplc="4C2A6F6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0453C6"/>
    <w:multiLevelType w:val="hybridMultilevel"/>
    <w:tmpl w:val="4E743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5B5527"/>
    <w:multiLevelType w:val="hybridMultilevel"/>
    <w:tmpl w:val="1C903A4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5720505"/>
    <w:multiLevelType w:val="multilevel"/>
    <w:tmpl w:val="72E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D0552"/>
    <w:multiLevelType w:val="hybridMultilevel"/>
    <w:tmpl w:val="8174D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072C35"/>
    <w:multiLevelType w:val="hybridMultilevel"/>
    <w:tmpl w:val="3E4098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050342"/>
    <w:multiLevelType w:val="hybridMultilevel"/>
    <w:tmpl w:val="0F7C74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EC26A2"/>
    <w:multiLevelType w:val="multilevel"/>
    <w:tmpl w:val="B50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7792A"/>
    <w:multiLevelType w:val="hybridMultilevel"/>
    <w:tmpl w:val="1C903A4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DA121CA"/>
    <w:multiLevelType w:val="hybridMultilevel"/>
    <w:tmpl w:val="DEC0F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BC0FD4"/>
    <w:multiLevelType w:val="hybridMultilevel"/>
    <w:tmpl w:val="C26676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F97383A"/>
    <w:multiLevelType w:val="hybridMultilevel"/>
    <w:tmpl w:val="7FD8F3B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1076FE1"/>
    <w:multiLevelType w:val="hybridMultilevel"/>
    <w:tmpl w:val="DEC0F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6"/>
  </w:num>
  <w:num w:numId="5">
    <w:abstractNumId w:val="9"/>
  </w:num>
  <w:num w:numId="6">
    <w:abstractNumId w:val="5"/>
  </w:num>
  <w:num w:numId="7">
    <w:abstractNumId w:val="10"/>
  </w:num>
  <w:num w:numId="8">
    <w:abstractNumId w:val="1"/>
  </w:num>
  <w:num w:numId="9">
    <w:abstractNumId w:val="0"/>
  </w:num>
  <w:num w:numId="10">
    <w:abstractNumId w:val="11"/>
  </w:num>
  <w:num w:numId="11">
    <w:abstractNumId w:val="16"/>
  </w:num>
  <w:num w:numId="12">
    <w:abstractNumId w:val="13"/>
  </w:num>
  <w:num w:numId="13">
    <w:abstractNumId w:val="14"/>
  </w:num>
  <w:num w:numId="14">
    <w:abstractNumId w:val="7"/>
  </w:num>
  <w:num w:numId="15">
    <w:abstractNumId w:val="4"/>
  </w:num>
  <w:num w:numId="16">
    <w:abstractNumId w:val="17"/>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ano Soares de Moura">
    <w15:presenceInfo w15:providerId="None" w15:userId="Cristiano Soares de Mo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I0M7CwNDIxM7c0MDBQ0lEKTi0uzszPAykwNqwFABVdQA0tAAAA"/>
  </w:docVars>
  <w:rsids>
    <w:rsidRoot w:val="00C20560"/>
    <w:rsid w:val="0000452C"/>
    <w:rsid w:val="00004D78"/>
    <w:rsid w:val="0000681B"/>
    <w:rsid w:val="000100C8"/>
    <w:rsid w:val="000115C1"/>
    <w:rsid w:val="000128F8"/>
    <w:rsid w:val="000148D8"/>
    <w:rsid w:val="00020770"/>
    <w:rsid w:val="000219B4"/>
    <w:rsid w:val="000231C6"/>
    <w:rsid w:val="00030725"/>
    <w:rsid w:val="00032769"/>
    <w:rsid w:val="00032BEF"/>
    <w:rsid w:val="00040CCB"/>
    <w:rsid w:val="00041AB1"/>
    <w:rsid w:val="00042A6B"/>
    <w:rsid w:val="00042AC9"/>
    <w:rsid w:val="00043858"/>
    <w:rsid w:val="0005130D"/>
    <w:rsid w:val="00052D43"/>
    <w:rsid w:val="000550B5"/>
    <w:rsid w:val="000569EB"/>
    <w:rsid w:val="0006031F"/>
    <w:rsid w:val="00061BAF"/>
    <w:rsid w:val="00063373"/>
    <w:rsid w:val="00064AF2"/>
    <w:rsid w:val="000677F3"/>
    <w:rsid w:val="000717FE"/>
    <w:rsid w:val="0007363D"/>
    <w:rsid w:val="00077159"/>
    <w:rsid w:val="000805F6"/>
    <w:rsid w:val="00081479"/>
    <w:rsid w:val="00086EB0"/>
    <w:rsid w:val="0009129A"/>
    <w:rsid w:val="00093F05"/>
    <w:rsid w:val="000A383F"/>
    <w:rsid w:val="000A448D"/>
    <w:rsid w:val="000A4DA4"/>
    <w:rsid w:val="000B18B1"/>
    <w:rsid w:val="000B2AD1"/>
    <w:rsid w:val="000B2DCE"/>
    <w:rsid w:val="000C111C"/>
    <w:rsid w:val="000C4E06"/>
    <w:rsid w:val="000C5FE5"/>
    <w:rsid w:val="000D178E"/>
    <w:rsid w:val="000D621A"/>
    <w:rsid w:val="000D7149"/>
    <w:rsid w:val="000E2E4D"/>
    <w:rsid w:val="000E5832"/>
    <w:rsid w:val="000E593A"/>
    <w:rsid w:val="000F4273"/>
    <w:rsid w:val="000F797F"/>
    <w:rsid w:val="000F7F80"/>
    <w:rsid w:val="0010690A"/>
    <w:rsid w:val="00113AB9"/>
    <w:rsid w:val="001152FD"/>
    <w:rsid w:val="00116FBE"/>
    <w:rsid w:val="00117A5F"/>
    <w:rsid w:val="00121169"/>
    <w:rsid w:val="00123AD4"/>
    <w:rsid w:val="0012624D"/>
    <w:rsid w:val="00127287"/>
    <w:rsid w:val="001341C1"/>
    <w:rsid w:val="00135D64"/>
    <w:rsid w:val="0013629B"/>
    <w:rsid w:val="001377DC"/>
    <w:rsid w:val="00143417"/>
    <w:rsid w:val="00150CBA"/>
    <w:rsid w:val="00156FB4"/>
    <w:rsid w:val="001577B5"/>
    <w:rsid w:val="00166D57"/>
    <w:rsid w:val="00171BA0"/>
    <w:rsid w:val="00176440"/>
    <w:rsid w:val="00176A2D"/>
    <w:rsid w:val="00185B69"/>
    <w:rsid w:val="001865F7"/>
    <w:rsid w:val="001869C6"/>
    <w:rsid w:val="001903E1"/>
    <w:rsid w:val="00197A73"/>
    <w:rsid w:val="001A0797"/>
    <w:rsid w:val="001A6C4F"/>
    <w:rsid w:val="001B1679"/>
    <w:rsid w:val="001B265D"/>
    <w:rsid w:val="001B3168"/>
    <w:rsid w:val="001B712C"/>
    <w:rsid w:val="001C1A3E"/>
    <w:rsid w:val="001C2D56"/>
    <w:rsid w:val="001C3402"/>
    <w:rsid w:val="001C3AB7"/>
    <w:rsid w:val="001C57BE"/>
    <w:rsid w:val="001C66DE"/>
    <w:rsid w:val="001C6EEE"/>
    <w:rsid w:val="001D053A"/>
    <w:rsid w:val="001D0B8D"/>
    <w:rsid w:val="001D21DE"/>
    <w:rsid w:val="001D26BF"/>
    <w:rsid w:val="001D428A"/>
    <w:rsid w:val="001D4A16"/>
    <w:rsid w:val="001E4142"/>
    <w:rsid w:val="001E7BE6"/>
    <w:rsid w:val="001F2244"/>
    <w:rsid w:val="001F318E"/>
    <w:rsid w:val="001F5D54"/>
    <w:rsid w:val="001F5DAA"/>
    <w:rsid w:val="00200615"/>
    <w:rsid w:val="0020192F"/>
    <w:rsid w:val="00202E40"/>
    <w:rsid w:val="002033E4"/>
    <w:rsid w:val="002039A6"/>
    <w:rsid w:val="00207673"/>
    <w:rsid w:val="0021127C"/>
    <w:rsid w:val="00213C83"/>
    <w:rsid w:val="00214E0D"/>
    <w:rsid w:val="002208EB"/>
    <w:rsid w:val="00221577"/>
    <w:rsid w:val="00221673"/>
    <w:rsid w:val="00221FD7"/>
    <w:rsid w:val="00224F41"/>
    <w:rsid w:val="0022758A"/>
    <w:rsid w:val="0023234C"/>
    <w:rsid w:val="00233FE8"/>
    <w:rsid w:val="00237836"/>
    <w:rsid w:val="0024248E"/>
    <w:rsid w:val="002455C1"/>
    <w:rsid w:val="00246123"/>
    <w:rsid w:val="002462CF"/>
    <w:rsid w:val="00247C82"/>
    <w:rsid w:val="00247ED7"/>
    <w:rsid w:val="00250CE5"/>
    <w:rsid w:val="0025105E"/>
    <w:rsid w:val="00257BFD"/>
    <w:rsid w:val="00262455"/>
    <w:rsid w:val="00264DAD"/>
    <w:rsid w:val="002676D9"/>
    <w:rsid w:val="002719BB"/>
    <w:rsid w:val="002736DF"/>
    <w:rsid w:val="00274C28"/>
    <w:rsid w:val="00275A65"/>
    <w:rsid w:val="00276016"/>
    <w:rsid w:val="0027618F"/>
    <w:rsid w:val="00277CBA"/>
    <w:rsid w:val="002807BA"/>
    <w:rsid w:val="00283EDA"/>
    <w:rsid w:val="00286A5A"/>
    <w:rsid w:val="002872CE"/>
    <w:rsid w:val="00287783"/>
    <w:rsid w:val="00293271"/>
    <w:rsid w:val="002A40F9"/>
    <w:rsid w:val="002B070D"/>
    <w:rsid w:val="002B16F3"/>
    <w:rsid w:val="002B1CFF"/>
    <w:rsid w:val="002B2458"/>
    <w:rsid w:val="002B4121"/>
    <w:rsid w:val="002B4BD4"/>
    <w:rsid w:val="002B5D31"/>
    <w:rsid w:val="002C29D3"/>
    <w:rsid w:val="002C76BC"/>
    <w:rsid w:val="002D3BD7"/>
    <w:rsid w:val="002D749B"/>
    <w:rsid w:val="002D7B8E"/>
    <w:rsid w:val="002E0C8E"/>
    <w:rsid w:val="002E0E5A"/>
    <w:rsid w:val="002E455E"/>
    <w:rsid w:val="002E4740"/>
    <w:rsid w:val="002F4000"/>
    <w:rsid w:val="002F4427"/>
    <w:rsid w:val="002F4A00"/>
    <w:rsid w:val="002F7A48"/>
    <w:rsid w:val="00304929"/>
    <w:rsid w:val="00306086"/>
    <w:rsid w:val="0030684B"/>
    <w:rsid w:val="00311200"/>
    <w:rsid w:val="00312BD4"/>
    <w:rsid w:val="00313177"/>
    <w:rsid w:val="00313F2D"/>
    <w:rsid w:val="00321597"/>
    <w:rsid w:val="003234FF"/>
    <w:rsid w:val="00323846"/>
    <w:rsid w:val="003241ED"/>
    <w:rsid w:val="00331E22"/>
    <w:rsid w:val="0033204C"/>
    <w:rsid w:val="0033240F"/>
    <w:rsid w:val="003329A9"/>
    <w:rsid w:val="00334330"/>
    <w:rsid w:val="00334786"/>
    <w:rsid w:val="00335D64"/>
    <w:rsid w:val="00342B1C"/>
    <w:rsid w:val="00347A49"/>
    <w:rsid w:val="00347A99"/>
    <w:rsid w:val="00352BE1"/>
    <w:rsid w:val="003555DE"/>
    <w:rsid w:val="0035730C"/>
    <w:rsid w:val="00364343"/>
    <w:rsid w:val="003717C6"/>
    <w:rsid w:val="00371945"/>
    <w:rsid w:val="00372417"/>
    <w:rsid w:val="00376B30"/>
    <w:rsid w:val="00376CC6"/>
    <w:rsid w:val="00380906"/>
    <w:rsid w:val="00386041"/>
    <w:rsid w:val="00386086"/>
    <w:rsid w:val="00387891"/>
    <w:rsid w:val="00394797"/>
    <w:rsid w:val="00395C7C"/>
    <w:rsid w:val="003A0760"/>
    <w:rsid w:val="003A272E"/>
    <w:rsid w:val="003A32EE"/>
    <w:rsid w:val="003A6790"/>
    <w:rsid w:val="003B77CF"/>
    <w:rsid w:val="003C1FEA"/>
    <w:rsid w:val="003C23D8"/>
    <w:rsid w:val="003C5A28"/>
    <w:rsid w:val="003C6BD0"/>
    <w:rsid w:val="003C7A09"/>
    <w:rsid w:val="003D1D89"/>
    <w:rsid w:val="003D1E62"/>
    <w:rsid w:val="003D2687"/>
    <w:rsid w:val="003D3230"/>
    <w:rsid w:val="003D5FA6"/>
    <w:rsid w:val="003E1164"/>
    <w:rsid w:val="003F0954"/>
    <w:rsid w:val="003F2BA1"/>
    <w:rsid w:val="003F2F08"/>
    <w:rsid w:val="003F54E4"/>
    <w:rsid w:val="003F5525"/>
    <w:rsid w:val="0040215E"/>
    <w:rsid w:val="004067F7"/>
    <w:rsid w:val="00406C2C"/>
    <w:rsid w:val="00411B78"/>
    <w:rsid w:val="0041441A"/>
    <w:rsid w:val="00417B01"/>
    <w:rsid w:val="004300F7"/>
    <w:rsid w:val="004321CA"/>
    <w:rsid w:val="004359C2"/>
    <w:rsid w:val="00437D05"/>
    <w:rsid w:val="00442B97"/>
    <w:rsid w:val="00454385"/>
    <w:rsid w:val="00455043"/>
    <w:rsid w:val="004565A0"/>
    <w:rsid w:val="004568B5"/>
    <w:rsid w:val="0045713B"/>
    <w:rsid w:val="00460772"/>
    <w:rsid w:val="00464241"/>
    <w:rsid w:val="00465250"/>
    <w:rsid w:val="00470FAF"/>
    <w:rsid w:val="0047186F"/>
    <w:rsid w:val="0047506F"/>
    <w:rsid w:val="00476EE4"/>
    <w:rsid w:val="0047797A"/>
    <w:rsid w:val="00481A63"/>
    <w:rsid w:val="00486ACC"/>
    <w:rsid w:val="00487613"/>
    <w:rsid w:val="00487A18"/>
    <w:rsid w:val="00491FF8"/>
    <w:rsid w:val="00493405"/>
    <w:rsid w:val="0049393C"/>
    <w:rsid w:val="00495B1E"/>
    <w:rsid w:val="00496506"/>
    <w:rsid w:val="004A458B"/>
    <w:rsid w:val="004B0676"/>
    <w:rsid w:val="004B1758"/>
    <w:rsid w:val="004B39F5"/>
    <w:rsid w:val="004B5D51"/>
    <w:rsid w:val="004B6817"/>
    <w:rsid w:val="004B6D4D"/>
    <w:rsid w:val="004C1702"/>
    <w:rsid w:val="004C482C"/>
    <w:rsid w:val="004C4A9B"/>
    <w:rsid w:val="004C625F"/>
    <w:rsid w:val="004E34D6"/>
    <w:rsid w:val="004E37EC"/>
    <w:rsid w:val="004E3E0E"/>
    <w:rsid w:val="004F737A"/>
    <w:rsid w:val="004F7A47"/>
    <w:rsid w:val="005004EA"/>
    <w:rsid w:val="0050321D"/>
    <w:rsid w:val="005041E1"/>
    <w:rsid w:val="0050427F"/>
    <w:rsid w:val="00504BA7"/>
    <w:rsid w:val="00506886"/>
    <w:rsid w:val="00511ECE"/>
    <w:rsid w:val="00512AB0"/>
    <w:rsid w:val="005152DD"/>
    <w:rsid w:val="00516207"/>
    <w:rsid w:val="00517525"/>
    <w:rsid w:val="00520840"/>
    <w:rsid w:val="005233D4"/>
    <w:rsid w:val="00524180"/>
    <w:rsid w:val="00525AFE"/>
    <w:rsid w:val="005265A7"/>
    <w:rsid w:val="00532FD6"/>
    <w:rsid w:val="00535178"/>
    <w:rsid w:val="00542828"/>
    <w:rsid w:val="00545723"/>
    <w:rsid w:val="0054779F"/>
    <w:rsid w:val="0055179E"/>
    <w:rsid w:val="005536AE"/>
    <w:rsid w:val="00553871"/>
    <w:rsid w:val="00555DAB"/>
    <w:rsid w:val="00560631"/>
    <w:rsid w:val="00565F09"/>
    <w:rsid w:val="00573B91"/>
    <w:rsid w:val="00573F9A"/>
    <w:rsid w:val="00575DF7"/>
    <w:rsid w:val="00576D17"/>
    <w:rsid w:val="00577E34"/>
    <w:rsid w:val="00586572"/>
    <w:rsid w:val="00586975"/>
    <w:rsid w:val="0059269B"/>
    <w:rsid w:val="005A7EAA"/>
    <w:rsid w:val="005A7F63"/>
    <w:rsid w:val="005B7F1D"/>
    <w:rsid w:val="005D2033"/>
    <w:rsid w:val="005D2365"/>
    <w:rsid w:val="005D63F4"/>
    <w:rsid w:val="005D67E5"/>
    <w:rsid w:val="005D7D08"/>
    <w:rsid w:val="005E1234"/>
    <w:rsid w:val="005E22A7"/>
    <w:rsid w:val="005E436F"/>
    <w:rsid w:val="005F13B5"/>
    <w:rsid w:val="005F25A2"/>
    <w:rsid w:val="005F26D8"/>
    <w:rsid w:val="005F2702"/>
    <w:rsid w:val="005F5BC1"/>
    <w:rsid w:val="005F6728"/>
    <w:rsid w:val="005F6741"/>
    <w:rsid w:val="00601C8A"/>
    <w:rsid w:val="00602EC5"/>
    <w:rsid w:val="00604D05"/>
    <w:rsid w:val="00604E0A"/>
    <w:rsid w:val="00612526"/>
    <w:rsid w:val="00612594"/>
    <w:rsid w:val="0061456B"/>
    <w:rsid w:val="00622BC1"/>
    <w:rsid w:val="00624EF3"/>
    <w:rsid w:val="00632072"/>
    <w:rsid w:val="006343CB"/>
    <w:rsid w:val="00640732"/>
    <w:rsid w:val="006437FC"/>
    <w:rsid w:val="00647F17"/>
    <w:rsid w:val="0065568C"/>
    <w:rsid w:val="00661859"/>
    <w:rsid w:val="00661C37"/>
    <w:rsid w:val="00664CA5"/>
    <w:rsid w:val="00667657"/>
    <w:rsid w:val="0067155A"/>
    <w:rsid w:val="0067589C"/>
    <w:rsid w:val="006778EB"/>
    <w:rsid w:val="00680B16"/>
    <w:rsid w:val="0068343A"/>
    <w:rsid w:val="006846CC"/>
    <w:rsid w:val="006854AE"/>
    <w:rsid w:val="00685F88"/>
    <w:rsid w:val="006875CA"/>
    <w:rsid w:val="00693C06"/>
    <w:rsid w:val="006A033D"/>
    <w:rsid w:val="006A11EE"/>
    <w:rsid w:val="006A456A"/>
    <w:rsid w:val="006A4B7F"/>
    <w:rsid w:val="006A5D87"/>
    <w:rsid w:val="006A6514"/>
    <w:rsid w:val="006A72E6"/>
    <w:rsid w:val="006B45F8"/>
    <w:rsid w:val="006B6D1F"/>
    <w:rsid w:val="006C0687"/>
    <w:rsid w:val="006C0C2B"/>
    <w:rsid w:val="006C1E17"/>
    <w:rsid w:val="006C3E00"/>
    <w:rsid w:val="006C7277"/>
    <w:rsid w:val="006D2B9C"/>
    <w:rsid w:val="006D419E"/>
    <w:rsid w:val="006D4E28"/>
    <w:rsid w:val="006D5AD9"/>
    <w:rsid w:val="006E2742"/>
    <w:rsid w:val="006E6B3E"/>
    <w:rsid w:val="006F281A"/>
    <w:rsid w:val="006F30D0"/>
    <w:rsid w:val="006F32A9"/>
    <w:rsid w:val="006F3FBB"/>
    <w:rsid w:val="006F3FD9"/>
    <w:rsid w:val="006F7881"/>
    <w:rsid w:val="00700596"/>
    <w:rsid w:val="00703FAD"/>
    <w:rsid w:val="00704B96"/>
    <w:rsid w:val="0070527E"/>
    <w:rsid w:val="0070715F"/>
    <w:rsid w:val="007137C2"/>
    <w:rsid w:val="00715F38"/>
    <w:rsid w:val="007164DE"/>
    <w:rsid w:val="00717927"/>
    <w:rsid w:val="00717C2F"/>
    <w:rsid w:val="0072183D"/>
    <w:rsid w:val="00721DCB"/>
    <w:rsid w:val="00722BC5"/>
    <w:rsid w:val="007254AE"/>
    <w:rsid w:val="00725C81"/>
    <w:rsid w:val="00731593"/>
    <w:rsid w:val="00743FF5"/>
    <w:rsid w:val="00745A5C"/>
    <w:rsid w:val="00747569"/>
    <w:rsid w:val="00750B22"/>
    <w:rsid w:val="00750CAE"/>
    <w:rsid w:val="00766486"/>
    <w:rsid w:val="007668E0"/>
    <w:rsid w:val="00772E4C"/>
    <w:rsid w:val="00782177"/>
    <w:rsid w:val="00785692"/>
    <w:rsid w:val="007874E9"/>
    <w:rsid w:val="00793F06"/>
    <w:rsid w:val="007969DB"/>
    <w:rsid w:val="00797725"/>
    <w:rsid w:val="007977B7"/>
    <w:rsid w:val="007A1DB5"/>
    <w:rsid w:val="007A3E2A"/>
    <w:rsid w:val="007A64B8"/>
    <w:rsid w:val="007A6D4C"/>
    <w:rsid w:val="007B7AF1"/>
    <w:rsid w:val="007B7F55"/>
    <w:rsid w:val="007C08F9"/>
    <w:rsid w:val="007C6A5B"/>
    <w:rsid w:val="007D15CF"/>
    <w:rsid w:val="007D60F7"/>
    <w:rsid w:val="007D6A29"/>
    <w:rsid w:val="007E04F7"/>
    <w:rsid w:val="007E54A2"/>
    <w:rsid w:val="007E5DDA"/>
    <w:rsid w:val="007F2C40"/>
    <w:rsid w:val="007F6E5A"/>
    <w:rsid w:val="007F7BAC"/>
    <w:rsid w:val="007F7E53"/>
    <w:rsid w:val="008028F5"/>
    <w:rsid w:val="0080415E"/>
    <w:rsid w:val="008117D1"/>
    <w:rsid w:val="008158CC"/>
    <w:rsid w:val="00815F0D"/>
    <w:rsid w:val="008203A1"/>
    <w:rsid w:val="00823295"/>
    <w:rsid w:val="008243BA"/>
    <w:rsid w:val="0082554B"/>
    <w:rsid w:val="008266FB"/>
    <w:rsid w:val="00827534"/>
    <w:rsid w:val="00827B3A"/>
    <w:rsid w:val="00827FDE"/>
    <w:rsid w:val="00832AE3"/>
    <w:rsid w:val="00836312"/>
    <w:rsid w:val="00837D3A"/>
    <w:rsid w:val="00845692"/>
    <w:rsid w:val="008475B0"/>
    <w:rsid w:val="00850F1B"/>
    <w:rsid w:val="00850F5E"/>
    <w:rsid w:val="0085143B"/>
    <w:rsid w:val="00852640"/>
    <w:rsid w:val="00854FD4"/>
    <w:rsid w:val="008612BF"/>
    <w:rsid w:val="00863358"/>
    <w:rsid w:val="00864B10"/>
    <w:rsid w:val="008650CE"/>
    <w:rsid w:val="00865516"/>
    <w:rsid w:val="00867EB1"/>
    <w:rsid w:val="00875CF2"/>
    <w:rsid w:val="008810DE"/>
    <w:rsid w:val="008911C4"/>
    <w:rsid w:val="0089197D"/>
    <w:rsid w:val="00893598"/>
    <w:rsid w:val="00895763"/>
    <w:rsid w:val="008A5885"/>
    <w:rsid w:val="008A7FE0"/>
    <w:rsid w:val="008B0A6E"/>
    <w:rsid w:val="008B1C0C"/>
    <w:rsid w:val="008B2B0B"/>
    <w:rsid w:val="008B398F"/>
    <w:rsid w:val="008C2277"/>
    <w:rsid w:val="008D1102"/>
    <w:rsid w:val="008D177E"/>
    <w:rsid w:val="008D18A2"/>
    <w:rsid w:val="008D202B"/>
    <w:rsid w:val="008D5A59"/>
    <w:rsid w:val="008D7BC1"/>
    <w:rsid w:val="008E0D39"/>
    <w:rsid w:val="008E3CB4"/>
    <w:rsid w:val="008E4647"/>
    <w:rsid w:val="008E595A"/>
    <w:rsid w:val="008F0B6E"/>
    <w:rsid w:val="008F7D96"/>
    <w:rsid w:val="00900BBD"/>
    <w:rsid w:val="0090477D"/>
    <w:rsid w:val="0090673D"/>
    <w:rsid w:val="00910F3A"/>
    <w:rsid w:val="00911438"/>
    <w:rsid w:val="00913EDA"/>
    <w:rsid w:val="00915210"/>
    <w:rsid w:val="00915747"/>
    <w:rsid w:val="0091687E"/>
    <w:rsid w:val="00920847"/>
    <w:rsid w:val="00920F69"/>
    <w:rsid w:val="009243BE"/>
    <w:rsid w:val="0093657F"/>
    <w:rsid w:val="00937FD9"/>
    <w:rsid w:val="00943629"/>
    <w:rsid w:val="00944AE2"/>
    <w:rsid w:val="009459E3"/>
    <w:rsid w:val="00946ADD"/>
    <w:rsid w:val="00952D5C"/>
    <w:rsid w:val="00953242"/>
    <w:rsid w:val="00954705"/>
    <w:rsid w:val="00963CB3"/>
    <w:rsid w:val="00963E6C"/>
    <w:rsid w:val="00966588"/>
    <w:rsid w:val="00972788"/>
    <w:rsid w:val="009736CA"/>
    <w:rsid w:val="0098495D"/>
    <w:rsid w:val="00984AF4"/>
    <w:rsid w:val="009876CD"/>
    <w:rsid w:val="00987DD3"/>
    <w:rsid w:val="00991343"/>
    <w:rsid w:val="009933D5"/>
    <w:rsid w:val="00996A3C"/>
    <w:rsid w:val="009A1434"/>
    <w:rsid w:val="009A25D9"/>
    <w:rsid w:val="009A4418"/>
    <w:rsid w:val="009A4AD9"/>
    <w:rsid w:val="009A5256"/>
    <w:rsid w:val="009A7F82"/>
    <w:rsid w:val="009B5BDC"/>
    <w:rsid w:val="009C3385"/>
    <w:rsid w:val="009C7B3B"/>
    <w:rsid w:val="009D1D00"/>
    <w:rsid w:val="009D4A4D"/>
    <w:rsid w:val="009D70BF"/>
    <w:rsid w:val="009D7C1D"/>
    <w:rsid w:val="009E2E5A"/>
    <w:rsid w:val="009E2EEA"/>
    <w:rsid w:val="009E3C94"/>
    <w:rsid w:val="009E5D03"/>
    <w:rsid w:val="009E68D2"/>
    <w:rsid w:val="009E68F3"/>
    <w:rsid w:val="009F0A24"/>
    <w:rsid w:val="009F4C1B"/>
    <w:rsid w:val="00A06435"/>
    <w:rsid w:val="00A10077"/>
    <w:rsid w:val="00A12132"/>
    <w:rsid w:val="00A1258A"/>
    <w:rsid w:val="00A12E83"/>
    <w:rsid w:val="00A14E0B"/>
    <w:rsid w:val="00A156AD"/>
    <w:rsid w:val="00A16165"/>
    <w:rsid w:val="00A21614"/>
    <w:rsid w:val="00A216C0"/>
    <w:rsid w:val="00A223C6"/>
    <w:rsid w:val="00A2630A"/>
    <w:rsid w:val="00A267CB"/>
    <w:rsid w:val="00A310ED"/>
    <w:rsid w:val="00A319BF"/>
    <w:rsid w:val="00A351CA"/>
    <w:rsid w:val="00A44040"/>
    <w:rsid w:val="00A46205"/>
    <w:rsid w:val="00A5519A"/>
    <w:rsid w:val="00A607F7"/>
    <w:rsid w:val="00A61C0D"/>
    <w:rsid w:val="00A6414A"/>
    <w:rsid w:val="00A65407"/>
    <w:rsid w:val="00A65621"/>
    <w:rsid w:val="00A722F9"/>
    <w:rsid w:val="00A729C2"/>
    <w:rsid w:val="00A74876"/>
    <w:rsid w:val="00A748F7"/>
    <w:rsid w:val="00A74F99"/>
    <w:rsid w:val="00A82014"/>
    <w:rsid w:val="00A862E7"/>
    <w:rsid w:val="00A86C5F"/>
    <w:rsid w:val="00A920A8"/>
    <w:rsid w:val="00A963CC"/>
    <w:rsid w:val="00A97139"/>
    <w:rsid w:val="00AA12A2"/>
    <w:rsid w:val="00AA55C5"/>
    <w:rsid w:val="00AA5A8F"/>
    <w:rsid w:val="00AB1929"/>
    <w:rsid w:val="00AB66D5"/>
    <w:rsid w:val="00AB6883"/>
    <w:rsid w:val="00AC32C2"/>
    <w:rsid w:val="00AC46B8"/>
    <w:rsid w:val="00AC46C0"/>
    <w:rsid w:val="00AC5F00"/>
    <w:rsid w:val="00AD2057"/>
    <w:rsid w:val="00AD5200"/>
    <w:rsid w:val="00AD70DD"/>
    <w:rsid w:val="00AE137D"/>
    <w:rsid w:val="00AE26F0"/>
    <w:rsid w:val="00B07ADE"/>
    <w:rsid w:val="00B10EA8"/>
    <w:rsid w:val="00B11B43"/>
    <w:rsid w:val="00B12313"/>
    <w:rsid w:val="00B13609"/>
    <w:rsid w:val="00B15DE1"/>
    <w:rsid w:val="00B16CB2"/>
    <w:rsid w:val="00B22272"/>
    <w:rsid w:val="00B246A7"/>
    <w:rsid w:val="00B2660D"/>
    <w:rsid w:val="00B2686B"/>
    <w:rsid w:val="00B27C68"/>
    <w:rsid w:val="00B30865"/>
    <w:rsid w:val="00B34434"/>
    <w:rsid w:val="00B42687"/>
    <w:rsid w:val="00B4352E"/>
    <w:rsid w:val="00B44A62"/>
    <w:rsid w:val="00B51348"/>
    <w:rsid w:val="00B51E38"/>
    <w:rsid w:val="00B52035"/>
    <w:rsid w:val="00B52351"/>
    <w:rsid w:val="00B572ED"/>
    <w:rsid w:val="00B7667F"/>
    <w:rsid w:val="00B80589"/>
    <w:rsid w:val="00B811F8"/>
    <w:rsid w:val="00B81D3B"/>
    <w:rsid w:val="00B90393"/>
    <w:rsid w:val="00B90B1B"/>
    <w:rsid w:val="00B91532"/>
    <w:rsid w:val="00B921F1"/>
    <w:rsid w:val="00B96384"/>
    <w:rsid w:val="00B96DF2"/>
    <w:rsid w:val="00B975CA"/>
    <w:rsid w:val="00BA3762"/>
    <w:rsid w:val="00BA4275"/>
    <w:rsid w:val="00BB19D2"/>
    <w:rsid w:val="00BB1A26"/>
    <w:rsid w:val="00BB5997"/>
    <w:rsid w:val="00BC419E"/>
    <w:rsid w:val="00BC4A7E"/>
    <w:rsid w:val="00BC5F3F"/>
    <w:rsid w:val="00BD0E2E"/>
    <w:rsid w:val="00BD113D"/>
    <w:rsid w:val="00BD2944"/>
    <w:rsid w:val="00BD2CEC"/>
    <w:rsid w:val="00BD2D60"/>
    <w:rsid w:val="00BD5116"/>
    <w:rsid w:val="00BD61BA"/>
    <w:rsid w:val="00BD79C3"/>
    <w:rsid w:val="00BD7FFA"/>
    <w:rsid w:val="00BE18DE"/>
    <w:rsid w:val="00BE1ABD"/>
    <w:rsid w:val="00BE2AE6"/>
    <w:rsid w:val="00BE4955"/>
    <w:rsid w:val="00BE4C34"/>
    <w:rsid w:val="00BE4EDB"/>
    <w:rsid w:val="00BF6033"/>
    <w:rsid w:val="00BF6E6B"/>
    <w:rsid w:val="00C0241D"/>
    <w:rsid w:val="00C12E7B"/>
    <w:rsid w:val="00C14FAD"/>
    <w:rsid w:val="00C20560"/>
    <w:rsid w:val="00C20BD5"/>
    <w:rsid w:val="00C224EE"/>
    <w:rsid w:val="00C24224"/>
    <w:rsid w:val="00C24A7B"/>
    <w:rsid w:val="00C27A08"/>
    <w:rsid w:val="00C3023E"/>
    <w:rsid w:val="00C338EE"/>
    <w:rsid w:val="00C342C0"/>
    <w:rsid w:val="00C35506"/>
    <w:rsid w:val="00C3676C"/>
    <w:rsid w:val="00C42C00"/>
    <w:rsid w:val="00C4312D"/>
    <w:rsid w:val="00C443CD"/>
    <w:rsid w:val="00C46BA6"/>
    <w:rsid w:val="00C46CDF"/>
    <w:rsid w:val="00C50887"/>
    <w:rsid w:val="00C515F7"/>
    <w:rsid w:val="00C52C85"/>
    <w:rsid w:val="00C553F9"/>
    <w:rsid w:val="00C57D5A"/>
    <w:rsid w:val="00C6121B"/>
    <w:rsid w:val="00C61A59"/>
    <w:rsid w:val="00C67B99"/>
    <w:rsid w:val="00C70206"/>
    <w:rsid w:val="00C7040F"/>
    <w:rsid w:val="00C73F91"/>
    <w:rsid w:val="00C76778"/>
    <w:rsid w:val="00C76B2F"/>
    <w:rsid w:val="00C76ED7"/>
    <w:rsid w:val="00C777F2"/>
    <w:rsid w:val="00C80C05"/>
    <w:rsid w:val="00C82168"/>
    <w:rsid w:val="00C83B12"/>
    <w:rsid w:val="00C9145D"/>
    <w:rsid w:val="00C925FF"/>
    <w:rsid w:val="00C9508C"/>
    <w:rsid w:val="00CA0DB2"/>
    <w:rsid w:val="00CA2450"/>
    <w:rsid w:val="00CA5467"/>
    <w:rsid w:val="00CA7014"/>
    <w:rsid w:val="00CB0C0F"/>
    <w:rsid w:val="00CB4DA4"/>
    <w:rsid w:val="00CC4F07"/>
    <w:rsid w:val="00CC6C76"/>
    <w:rsid w:val="00CD0A9A"/>
    <w:rsid w:val="00CD3FAB"/>
    <w:rsid w:val="00CD4A06"/>
    <w:rsid w:val="00CD6922"/>
    <w:rsid w:val="00CD767D"/>
    <w:rsid w:val="00CE0CC0"/>
    <w:rsid w:val="00CE22DB"/>
    <w:rsid w:val="00CE4B5A"/>
    <w:rsid w:val="00CE52E8"/>
    <w:rsid w:val="00CE7E63"/>
    <w:rsid w:val="00CF0C8A"/>
    <w:rsid w:val="00D00736"/>
    <w:rsid w:val="00D020D9"/>
    <w:rsid w:val="00D0340B"/>
    <w:rsid w:val="00D04B19"/>
    <w:rsid w:val="00D04C30"/>
    <w:rsid w:val="00D056FE"/>
    <w:rsid w:val="00D05B34"/>
    <w:rsid w:val="00D06B54"/>
    <w:rsid w:val="00D133CC"/>
    <w:rsid w:val="00D23377"/>
    <w:rsid w:val="00D34717"/>
    <w:rsid w:val="00D34922"/>
    <w:rsid w:val="00D3556D"/>
    <w:rsid w:val="00D43313"/>
    <w:rsid w:val="00D443C1"/>
    <w:rsid w:val="00D44EA1"/>
    <w:rsid w:val="00D54FC7"/>
    <w:rsid w:val="00D60BFB"/>
    <w:rsid w:val="00D63110"/>
    <w:rsid w:val="00D63670"/>
    <w:rsid w:val="00D6377B"/>
    <w:rsid w:val="00D64AC5"/>
    <w:rsid w:val="00D70181"/>
    <w:rsid w:val="00D70ED8"/>
    <w:rsid w:val="00D73A36"/>
    <w:rsid w:val="00D744E1"/>
    <w:rsid w:val="00D80CBA"/>
    <w:rsid w:val="00D82EE6"/>
    <w:rsid w:val="00D86011"/>
    <w:rsid w:val="00D874B5"/>
    <w:rsid w:val="00D87760"/>
    <w:rsid w:val="00D90428"/>
    <w:rsid w:val="00D9174E"/>
    <w:rsid w:val="00D941CE"/>
    <w:rsid w:val="00D95AEB"/>
    <w:rsid w:val="00DA0683"/>
    <w:rsid w:val="00DA09D9"/>
    <w:rsid w:val="00DA2CAB"/>
    <w:rsid w:val="00DA339A"/>
    <w:rsid w:val="00DA492C"/>
    <w:rsid w:val="00DA5403"/>
    <w:rsid w:val="00DA587C"/>
    <w:rsid w:val="00DA72C8"/>
    <w:rsid w:val="00DB0A35"/>
    <w:rsid w:val="00DB1A67"/>
    <w:rsid w:val="00DB338A"/>
    <w:rsid w:val="00DB50F1"/>
    <w:rsid w:val="00DC10DC"/>
    <w:rsid w:val="00DC1339"/>
    <w:rsid w:val="00DC33AA"/>
    <w:rsid w:val="00DC6610"/>
    <w:rsid w:val="00DC799E"/>
    <w:rsid w:val="00DD1418"/>
    <w:rsid w:val="00DD4FBB"/>
    <w:rsid w:val="00DD7F1F"/>
    <w:rsid w:val="00DE0615"/>
    <w:rsid w:val="00DE1E70"/>
    <w:rsid w:val="00DE6381"/>
    <w:rsid w:val="00DE6AA7"/>
    <w:rsid w:val="00DF20FC"/>
    <w:rsid w:val="00DF3D8A"/>
    <w:rsid w:val="00DF5522"/>
    <w:rsid w:val="00DF7A5B"/>
    <w:rsid w:val="00E019D4"/>
    <w:rsid w:val="00E01D76"/>
    <w:rsid w:val="00E02509"/>
    <w:rsid w:val="00E02D68"/>
    <w:rsid w:val="00E04647"/>
    <w:rsid w:val="00E105D1"/>
    <w:rsid w:val="00E10D75"/>
    <w:rsid w:val="00E252F8"/>
    <w:rsid w:val="00E2733E"/>
    <w:rsid w:val="00E34630"/>
    <w:rsid w:val="00E415ED"/>
    <w:rsid w:val="00E42E22"/>
    <w:rsid w:val="00E43FFC"/>
    <w:rsid w:val="00E45FFD"/>
    <w:rsid w:val="00E467FB"/>
    <w:rsid w:val="00E47268"/>
    <w:rsid w:val="00E53021"/>
    <w:rsid w:val="00E5452A"/>
    <w:rsid w:val="00E57BB1"/>
    <w:rsid w:val="00E616B1"/>
    <w:rsid w:val="00E61AAF"/>
    <w:rsid w:val="00E660AC"/>
    <w:rsid w:val="00E736FA"/>
    <w:rsid w:val="00E739E8"/>
    <w:rsid w:val="00E767BD"/>
    <w:rsid w:val="00E86BC8"/>
    <w:rsid w:val="00E87139"/>
    <w:rsid w:val="00E92F3E"/>
    <w:rsid w:val="00E935D2"/>
    <w:rsid w:val="00E9376D"/>
    <w:rsid w:val="00EA0287"/>
    <w:rsid w:val="00EB21EF"/>
    <w:rsid w:val="00EB2883"/>
    <w:rsid w:val="00EB2C64"/>
    <w:rsid w:val="00EB4D67"/>
    <w:rsid w:val="00EB6735"/>
    <w:rsid w:val="00EC0166"/>
    <w:rsid w:val="00EC16F1"/>
    <w:rsid w:val="00EC42B4"/>
    <w:rsid w:val="00EC5A8E"/>
    <w:rsid w:val="00ED2773"/>
    <w:rsid w:val="00ED3A4E"/>
    <w:rsid w:val="00EE7A4A"/>
    <w:rsid w:val="00EF3776"/>
    <w:rsid w:val="00EF5215"/>
    <w:rsid w:val="00F05F1B"/>
    <w:rsid w:val="00F116BF"/>
    <w:rsid w:val="00F15AD4"/>
    <w:rsid w:val="00F16396"/>
    <w:rsid w:val="00F17118"/>
    <w:rsid w:val="00F23CDA"/>
    <w:rsid w:val="00F24A52"/>
    <w:rsid w:val="00F24D0C"/>
    <w:rsid w:val="00F251E7"/>
    <w:rsid w:val="00F25DE7"/>
    <w:rsid w:val="00F270BA"/>
    <w:rsid w:val="00F33260"/>
    <w:rsid w:val="00F33546"/>
    <w:rsid w:val="00F42500"/>
    <w:rsid w:val="00F43926"/>
    <w:rsid w:val="00F4473F"/>
    <w:rsid w:val="00F53290"/>
    <w:rsid w:val="00F56638"/>
    <w:rsid w:val="00F664D8"/>
    <w:rsid w:val="00F72C08"/>
    <w:rsid w:val="00F72CA4"/>
    <w:rsid w:val="00F801CB"/>
    <w:rsid w:val="00F82B22"/>
    <w:rsid w:val="00F82DCB"/>
    <w:rsid w:val="00F83568"/>
    <w:rsid w:val="00F84170"/>
    <w:rsid w:val="00F84C78"/>
    <w:rsid w:val="00F85745"/>
    <w:rsid w:val="00F86BC0"/>
    <w:rsid w:val="00F9239F"/>
    <w:rsid w:val="00F96476"/>
    <w:rsid w:val="00FA106E"/>
    <w:rsid w:val="00FA1C88"/>
    <w:rsid w:val="00FA36FD"/>
    <w:rsid w:val="00FA6771"/>
    <w:rsid w:val="00FA681A"/>
    <w:rsid w:val="00FA77F7"/>
    <w:rsid w:val="00FB07D3"/>
    <w:rsid w:val="00FB1F4D"/>
    <w:rsid w:val="00FB2D5C"/>
    <w:rsid w:val="00FB36BE"/>
    <w:rsid w:val="00FB4874"/>
    <w:rsid w:val="00FB57E8"/>
    <w:rsid w:val="00FB6AE5"/>
    <w:rsid w:val="00FC2287"/>
    <w:rsid w:val="00FC6D24"/>
    <w:rsid w:val="00FD329D"/>
    <w:rsid w:val="00FF38D6"/>
    <w:rsid w:val="00FF5B5C"/>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687"/>
    <w:rPr>
      <w:color w:val="0563C1" w:themeColor="hyperlink"/>
      <w:u w:val="single"/>
    </w:rPr>
  </w:style>
  <w:style w:type="paragraph" w:styleId="ListParagraph">
    <w:name w:val="List Paragraph"/>
    <w:basedOn w:val="Normal"/>
    <w:uiPriority w:val="34"/>
    <w:qFormat/>
    <w:rsid w:val="00D86011"/>
    <w:pPr>
      <w:ind w:left="720"/>
      <w:contextualSpacing/>
    </w:pPr>
  </w:style>
  <w:style w:type="paragraph" w:styleId="FootnoteText">
    <w:name w:val="footnote text"/>
    <w:basedOn w:val="Normal"/>
    <w:link w:val="FootnoteTextChar"/>
    <w:uiPriority w:val="99"/>
    <w:semiHidden/>
    <w:unhideWhenUsed/>
    <w:rsid w:val="00E76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7BD"/>
    <w:rPr>
      <w:sz w:val="20"/>
      <w:szCs w:val="20"/>
    </w:rPr>
  </w:style>
  <w:style w:type="character" w:styleId="FootnoteReference">
    <w:name w:val="footnote reference"/>
    <w:basedOn w:val="DefaultParagraphFont"/>
    <w:uiPriority w:val="99"/>
    <w:semiHidden/>
    <w:unhideWhenUsed/>
    <w:rsid w:val="00E767BD"/>
    <w:rPr>
      <w:vertAlign w:val="superscript"/>
    </w:rPr>
  </w:style>
  <w:style w:type="character" w:customStyle="1" w:styleId="apple-converted-space">
    <w:name w:val="apple-converted-space"/>
    <w:basedOn w:val="DefaultParagraphFont"/>
    <w:rsid w:val="00E105D1"/>
  </w:style>
  <w:style w:type="character" w:styleId="CommentReference">
    <w:name w:val="annotation reference"/>
    <w:basedOn w:val="DefaultParagraphFont"/>
    <w:uiPriority w:val="99"/>
    <w:semiHidden/>
    <w:unhideWhenUsed/>
    <w:rsid w:val="00FA6771"/>
    <w:rPr>
      <w:sz w:val="16"/>
      <w:szCs w:val="16"/>
    </w:rPr>
  </w:style>
  <w:style w:type="paragraph" w:styleId="CommentText">
    <w:name w:val="annotation text"/>
    <w:basedOn w:val="Normal"/>
    <w:link w:val="CommentTextChar"/>
    <w:uiPriority w:val="99"/>
    <w:unhideWhenUsed/>
    <w:rsid w:val="00FA6771"/>
    <w:pPr>
      <w:spacing w:line="240" w:lineRule="auto"/>
    </w:pPr>
    <w:rPr>
      <w:sz w:val="20"/>
      <w:szCs w:val="20"/>
    </w:rPr>
  </w:style>
  <w:style w:type="character" w:customStyle="1" w:styleId="CommentTextChar">
    <w:name w:val="Comment Text Char"/>
    <w:basedOn w:val="DefaultParagraphFont"/>
    <w:link w:val="CommentText"/>
    <w:uiPriority w:val="99"/>
    <w:rsid w:val="00FA6771"/>
    <w:rPr>
      <w:sz w:val="20"/>
      <w:szCs w:val="20"/>
    </w:rPr>
  </w:style>
  <w:style w:type="paragraph" w:styleId="CommentSubject">
    <w:name w:val="annotation subject"/>
    <w:basedOn w:val="CommentText"/>
    <w:next w:val="CommentText"/>
    <w:link w:val="CommentSubjectChar"/>
    <w:uiPriority w:val="99"/>
    <w:semiHidden/>
    <w:unhideWhenUsed/>
    <w:rsid w:val="00FA6771"/>
    <w:rPr>
      <w:b/>
      <w:bCs/>
    </w:rPr>
  </w:style>
  <w:style w:type="character" w:customStyle="1" w:styleId="CommentSubjectChar">
    <w:name w:val="Comment Subject Char"/>
    <w:basedOn w:val="CommentTextChar"/>
    <w:link w:val="CommentSubject"/>
    <w:uiPriority w:val="99"/>
    <w:semiHidden/>
    <w:rsid w:val="00FA6771"/>
    <w:rPr>
      <w:b/>
      <w:bCs/>
      <w:sz w:val="20"/>
      <w:szCs w:val="20"/>
    </w:rPr>
  </w:style>
  <w:style w:type="paragraph" w:styleId="BalloonText">
    <w:name w:val="Balloon Text"/>
    <w:basedOn w:val="Normal"/>
    <w:link w:val="BalloonTextChar"/>
    <w:uiPriority w:val="99"/>
    <w:semiHidden/>
    <w:unhideWhenUsed/>
    <w:rsid w:val="00FA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71"/>
    <w:rPr>
      <w:rFonts w:ascii="Tahoma" w:hAnsi="Tahoma" w:cs="Tahoma"/>
      <w:sz w:val="16"/>
      <w:szCs w:val="16"/>
    </w:rPr>
  </w:style>
  <w:style w:type="paragraph" w:styleId="Revision">
    <w:name w:val="Revision"/>
    <w:hidden/>
    <w:uiPriority w:val="99"/>
    <w:semiHidden/>
    <w:rsid w:val="00747569"/>
    <w:pPr>
      <w:spacing w:after="0" w:line="240" w:lineRule="auto"/>
    </w:pPr>
  </w:style>
  <w:style w:type="paragraph" w:styleId="Header">
    <w:name w:val="header"/>
    <w:basedOn w:val="Normal"/>
    <w:link w:val="HeaderChar"/>
    <w:uiPriority w:val="99"/>
    <w:unhideWhenUsed/>
    <w:rsid w:val="006C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87"/>
  </w:style>
  <w:style w:type="paragraph" w:styleId="Footer">
    <w:name w:val="footer"/>
    <w:basedOn w:val="Normal"/>
    <w:link w:val="FooterChar"/>
    <w:uiPriority w:val="99"/>
    <w:unhideWhenUsed/>
    <w:rsid w:val="006C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87"/>
  </w:style>
  <w:style w:type="character" w:customStyle="1" w:styleId="Mention1">
    <w:name w:val="Mention1"/>
    <w:basedOn w:val="DefaultParagraphFont"/>
    <w:uiPriority w:val="99"/>
    <w:semiHidden/>
    <w:unhideWhenUsed/>
    <w:rsid w:val="00C20BD5"/>
    <w:rPr>
      <w:color w:val="2B579A"/>
      <w:shd w:val="clear" w:color="auto" w:fill="E6E6E6"/>
    </w:rPr>
  </w:style>
  <w:style w:type="paragraph" w:styleId="PlainText">
    <w:name w:val="Plain Text"/>
    <w:basedOn w:val="Normal"/>
    <w:link w:val="PlainTextChar"/>
    <w:uiPriority w:val="99"/>
    <w:unhideWhenUsed/>
    <w:rsid w:val="00C52C8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52C85"/>
    <w:rPr>
      <w:rFonts w:ascii="Calibri" w:eastAsia="Calibri" w:hAnsi="Calibri" w:cs="Times New Roman"/>
      <w:szCs w:val="21"/>
    </w:rPr>
  </w:style>
  <w:style w:type="character" w:customStyle="1" w:styleId="Mention2">
    <w:name w:val="Mention2"/>
    <w:basedOn w:val="DefaultParagraphFont"/>
    <w:uiPriority w:val="99"/>
    <w:semiHidden/>
    <w:unhideWhenUsed/>
    <w:rsid w:val="00221FD7"/>
    <w:rPr>
      <w:color w:val="2B579A"/>
      <w:shd w:val="clear" w:color="auto" w:fill="E6E6E6"/>
    </w:rPr>
  </w:style>
  <w:style w:type="character" w:styleId="Emphasis">
    <w:name w:val="Emphasis"/>
    <w:basedOn w:val="DefaultParagraphFont"/>
    <w:uiPriority w:val="20"/>
    <w:qFormat/>
    <w:rsid w:val="0067155A"/>
    <w:rPr>
      <w:i/>
      <w:iCs/>
    </w:rPr>
  </w:style>
  <w:style w:type="character" w:styleId="FollowedHyperlink">
    <w:name w:val="FollowedHyperlink"/>
    <w:basedOn w:val="DefaultParagraphFont"/>
    <w:uiPriority w:val="99"/>
    <w:semiHidden/>
    <w:unhideWhenUsed/>
    <w:rsid w:val="001C66DE"/>
    <w:rPr>
      <w:color w:val="800080"/>
      <w:u w:val="single"/>
    </w:rPr>
  </w:style>
  <w:style w:type="paragraph" w:customStyle="1" w:styleId="msonormal0">
    <w:name w:val="msonormal"/>
    <w:basedOn w:val="Normal"/>
    <w:rsid w:val="001C66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5">
    <w:name w:val="xl65"/>
    <w:basedOn w:val="Normal"/>
    <w:rsid w:val="001C66D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6">
    <w:name w:val="xl66"/>
    <w:basedOn w:val="Normal"/>
    <w:rsid w:val="001C66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7">
    <w:name w:val="xl67"/>
    <w:basedOn w:val="Normal"/>
    <w:rsid w:val="001C66D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8">
    <w:name w:val="xl68"/>
    <w:basedOn w:val="Normal"/>
    <w:rsid w:val="001C66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9">
    <w:name w:val="xl69"/>
    <w:basedOn w:val="Normal"/>
    <w:rsid w:val="001C66DE"/>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0">
    <w:name w:val="xl70"/>
    <w:basedOn w:val="Normal"/>
    <w:rsid w:val="001C66D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1">
    <w:name w:val="xl71"/>
    <w:basedOn w:val="Normal"/>
    <w:rsid w:val="001C66D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3">
    <w:name w:val="xl73"/>
    <w:basedOn w:val="Normal"/>
    <w:rsid w:val="001C66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4">
    <w:name w:val="xl74"/>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75">
    <w:name w:val="xl75"/>
    <w:basedOn w:val="Normal"/>
    <w:rsid w:val="001C66D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6">
    <w:name w:val="xl76"/>
    <w:basedOn w:val="Normal"/>
    <w:rsid w:val="001C66D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7">
    <w:name w:val="xl77"/>
    <w:basedOn w:val="Normal"/>
    <w:rsid w:val="001C66D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8">
    <w:name w:val="xl78"/>
    <w:basedOn w:val="Normal"/>
    <w:rsid w:val="001C66D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9">
    <w:name w:val="xl79"/>
    <w:basedOn w:val="Normal"/>
    <w:rsid w:val="001C66D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0">
    <w:name w:val="xl80"/>
    <w:basedOn w:val="Normal"/>
    <w:rsid w:val="001C66DE"/>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CA"/>
    </w:rPr>
  </w:style>
  <w:style w:type="paragraph" w:customStyle="1" w:styleId="xl81">
    <w:name w:val="xl81"/>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82">
    <w:name w:val="xl82"/>
    <w:basedOn w:val="Normal"/>
    <w:rsid w:val="001C66DE"/>
    <w:pPr>
      <w:pBdr>
        <w:left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83">
    <w:name w:val="xl83"/>
    <w:basedOn w:val="Normal"/>
    <w:rsid w:val="001C66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4">
    <w:name w:val="xl84"/>
    <w:basedOn w:val="Normal"/>
    <w:rsid w:val="001C66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85">
    <w:name w:val="xl85"/>
    <w:basedOn w:val="Normal"/>
    <w:rsid w:val="001C66D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86">
    <w:name w:val="xl86"/>
    <w:basedOn w:val="Normal"/>
    <w:rsid w:val="001C66D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7">
    <w:name w:val="xl87"/>
    <w:basedOn w:val="Normal"/>
    <w:rsid w:val="001C66DE"/>
    <w:pP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8">
    <w:name w:val="xl88"/>
    <w:basedOn w:val="Normal"/>
    <w:rsid w:val="001C66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9">
    <w:name w:val="xl89"/>
    <w:basedOn w:val="Normal"/>
    <w:rsid w:val="001C66D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0">
    <w:name w:val="xl90"/>
    <w:basedOn w:val="Normal"/>
    <w:rsid w:val="001C66D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1">
    <w:name w:val="xl91"/>
    <w:basedOn w:val="Normal"/>
    <w:rsid w:val="001C66D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2">
    <w:name w:val="xl92"/>
    <w:basedOn w:val="Normal"/>
    <w:rsid w:val="001C66D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3">
    <w:name w:val="xl93"/>
    <w:basedOn w:val="Normal"/>
    <w:rsid w:val="001C66D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4">
    <w:name w:val="xl94"/>
    <w:basedOn w:val="Normal"/>
    <w:rsid w:val="001C66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5">
    <w:name w:val="xl95"/>
    <w:basedOn w:val="Normal"/>
    <w:rsid w:val="001C66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6">
    <w:name w:val="xl96"/>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97">
    <w:name w:val="xl97"/>
    <w:basedOn w:val="Normal"/>
    <w:rsid w:val="001C66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222"/>
      <w:sz w:val="24"/>
      <w:szCs w:val="24"/>
      <w:lang w:eastAsia="en-CA"/>
    </w:rPr>
  </w:style>
  <w:style w:type="paragraph" w:customStyle="1" w:styleId="xl98">
    <w:name w:val="xl98"/>
    <w:basedOn w:val="Normal"/>
    <w:rsid w:val="001C66D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99">
    <w:name w:val="xl99"/>
    <w:basedOn w:val="Normal"/>
    <w:rsid w:val="001C66D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00">
    <w:name w:val="xl100"/>
    <w:basedOn w:val="Normal"/>
    <w:rsid w:val="001C66D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01">
    <w:name w:val="xl101"/>
    <w:basedOn w:val="Normal"/>
    <w:rsid w:val="001C66DE"/>
    <w:pPr>
      <w:pBdr>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2">
    <w:name w:val="xl102"/>
    <w:basedOn w:val="Normal"/>
    <w:rsid w:val="001C66DE"/>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3">
    <w:name w:val="xl103"/>
    <w:basedOn w:val="Normal"/>
    <w:rsid w:val="001C66DE"/>
    <w:pPr>
      <w:pBdr>
        <w:top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04">
    <w:name w:val="xl104"/>
    <w:basedOn w:val="Normal"/>
    <w:rsid w:val="001C66DE"/>
    <w:pPr>
      <w:pBdr>
        <w:bottom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05">
    <w:name w:val="xl105"/>
    <w:basedOn w:val="Normal"/>
    <w:rsid w:val="001C66DE"/>
    <w:pPr>
      <w:pBdr>
        <w:top w:val="single" w:sz="8" w:space="0" w:color="auto"/>
        <w:left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6">
    <w:name w:val="xl106"/>
    <w:basedOn w:val="Normal"/>
    <w:rsid w:val="001C66DE"/>
    <w:pPr>
      <w:pBdr>
        <w:top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7">
    <w:name w:val="xl107"/>
    <w:basedOn w:val="Normal"/>
    <w:rsid w:val="001C66DE"/>
    <w:pPr>
      <w:pBdr>
        <w:top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8">
    <w:name w:val="xl108"/>
    <w:basedOn w:val="Normal"/>
    <w:rsid w:val="001C66D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09">
    <w:name w:val="xl109"/>
    <w:basedOn w:val="Normal"/>
    <w:rsid w:val="001C66D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10">
    <w:name w:val="xl110"/>
    <w:basedOn w:val="Normal"/>
    <w:rsid w:val="001C66D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11">
    <w:name w:val="xl111"/>
    <w:basedOn w:val="Normal"/>
    <w:rsid w:val="001C66DE"/>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12">
    <w:name w:val="xl112"/>
    <w:basedOn w:val="Normal"/>
    <w:rsid w:val="001C66DE"/>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13">
    <w:name w:val="xl113"/>
    <w:basedOn w:val="Normal"/>
    <w:rsid w:val="001C66D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14">
    <w:name w:val="xl114"/>
    <w:basedOn w:val="Normal"/>
    <w:rsid w:val="001C66D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15">
    <w:name w:val="xl115"/>
    <w:basedOn w:val="Normal"/>
    <w:rsid w:val="001C66D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table" w:styleId="LightShading-Accent5">
    <w:name w:val="Light Shading Accent 5"/>
    <w:basedOn w:val="TableNormal"/>
    <w:uiPriority w:val="60"/>
    <w:rsid w:val="00C46CD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3">
    <w:name w:val="Light Shading Accent 3"/>
    <w:basedOn w:val="TableNormal"/>
    <w:uiPriority w:val="60"/>
    <w:rsid w:val="00C46C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C46CD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
    <w:name w:val="Light Shading"/>
    <w:basedOn w:val="TableNormal"/>
    <w:uiPriority w:val="60"/>
    <w:rsid w:val="00C46C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687"/>
    <w:rPr>
      <w:color w:val="0563C1" w:themeColor="hyperlink"/>
      <w:u w:val="single"/>
    </w:rPr>
  </w:style>
  <w:style w:type="paragraph" w:styleId="ListParagraph">
    <w:name w:val="List Paragraph"/>
    <w:basedOn w:val="Normal"/>
    <w:uiPriority w:val="34"/>
    <w:qFormat/>
    <w:rsid w:val="00D86011"/>
    <w:pPr>
      <w:ind w:left="720"/>
      <w:contextualSpacing/>
    </w:pPr>
  </w:style>
  <w:style w:type="paragraph" w:styleId="FootnoteText">
    <w:name w:val="footnote text"/>
    <w:basedOn w:val="Normal"/>
    <w:link w:val="FootnoteTextChar"/>
    <w:uiPriority w:val="99"/>
    <w:semiHidden/>
    <w:unhideWhenUsed/>
    <w:rsid w:val="00E76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7BD"/>
    <w:rPr>
      <w:sz w:val="20"/>
      <w:szCs w:val="20"/>
    </w:rPr>
  </w:style>
  <w:style w:type="character" w:styleId="FootnoteReference">
    <w:name w:val="footnote reference"/>
    <w:basedOn w:val="DefaultParagraphFont"/>
    <w:uiPriority w:val="99"/>
    <w:semiHidden/>
    <w:unhideWhenUsed/>
    <w:rsid w:val="00E767BD"/>
    <w:rPr>
      <w:vertAlign w:val="superscript"/>
    </w:rPr>
  </w:style>
  <w:style w:type="character" w:customStyle="1" w:styleId="apple-converted-space">
    <w:name w:val="apple-converted-space"/>
    <w:basedOn w:val="DefaultParagraphFont"/>
    <w:rsid w:val="00E105D1"/>
  </w:style>
  <w:style w:type="character" w:styleId="CommentReference">
    <w:name w:val="annotation reference"/>
    <w:basedOn w:val="DefaultParagraphFont"/>
    <w:uiPriority w:val="99"/>
    <w:semiHidden/>
    <w:unhideWhenUsed/>
    <w:rsid w:val="00FA6771"/>
    <w:rPr>
      <w:sz w:val="16"/>
      <w:szCs w:val="16"/>
    </w:rPr>
  </w:style>
  <w:style w:type="paragraph" w:styleId="CommentText">
    <w:name w:val="annotation text"/>
    <w:basedOn w:val="Normal"/>
    <w:link w:val="CommentTextChar"/>
    <w:uiPriority w:val="99"/>
    <w:unhideWhenUsed/>
    <w:rsid w:val="00FA6771"/>
    <w:pPr>
      <w:spacing w:line="240" w:lineRule="auto"/>
    </w:pPr>
    <w:rPr>
      <w:sz w:val="20"/>
      <w:szCs w:val="20"/>
    </w:rPr>
  </w:style>
  <w:style w:type="character" w:customStyle="1" w:styleId="CommentTextChar">
    <w:name w:val="Comment Text Char"/>
    <w:basedOn w:val="DefaultParagraphFont"/>
    <w:link w:val="CommentText"/>
    <w:uiPriority w:val="99"/>
    <w:rsid w:val="00FA6771"/>
    <w:rPr>
      <w:sz w:val="20"/>
      <w:szCs w:val="20"/>
    </w:rPr>
  </w:style>
  <w:style w:type="paragraph" w:styleId="CommentSubject">
    <w:name w:val="annotation subject"/>
    <w:basedOn w:val="CommentText"/>
    <w:next w:val="CommentText"/>
    <w:link w:val="CommentSubjectChar"/>
    <w:uiPriority w:val="99"/>
    <w:semiHidden/>
    <w:unhideWhenUsed/>
    <w:rsid w:val="00FA6771"/>
    <w:rPr>
      <w:b/>
      <w:bCs/>
    </w:rPr>
  </w:style>
  <w:style w:type="character" w:customStyle="1" w:styleId="CommentSubjectChar">
    <w:name w:val="Comment Subject Char"/>
    <w:basedOn w:val="CommentTextChar"/>
    <w:link w:val="CommentSubject"/>
    <w:uiPriority w:val="99"/>
    <w:semiHidden/>
    <w:rsid w:val="00FA6771"/>
    <w:rPr>
      <w:b/>
      <w:bCs/>
      <w:sz w:val="20"/>
      <w:szCs w:val="20"/>
    </w:rPr>
  </w:style>
  <w:style w:type="paragraph" w:styleId="BalloonText">
    <w:name w:val="Balloon Text"/>
    <w:basedOn w:val="Normal"/>
    <w:link w:val="BalloonTextChar"/>
    <w:uiPriority w:val="99"/>
    <w:semiHidden/>
    <w:unhideWhenUsed/>
    <w:rsid w:val="00FA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71"/>
    <w:rPr>
      <w:rFonts w:ascii="Tahoma" w:hAnsi="Tahoma" w:cs="Tahoma"/>
      <w:sz w:val="16"/>
      <w:szCs w:val="16"/>
    </w:rPr>
  </w:style>
  <w:style w:type="paragraph" w:styleId="Revision">
    <w:name w:val="Revision"/>
    <w:hidden/>
    <w:uiPriority w:val="99"/>
    <w:semiHidden/>
    <w:rsid w:val="00747569"/>
    <w:pPr>
      <w:spacing w:after="0" w:line="240" w:lineRule="auto"/>
    </w:pPr>
  </w:style>
  <w:style w:type="paragraph" w:styleId="Header">
    <w:name w:val="header"/>
    <w:basedOn w:val="Normal"/>
    <w:link w:val="HeaderChar"/>
    <w:uiPriority w:val="99"/>
    <w:unhideWhenUsed/>
    <w:rsid w:val="006C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87"/>
  </w:style>
  <w:style w:type="paragraph" w:styleId="Footer">
    <w:name w:val="footer"/>
    <w:basedOn w:val="Normal"/>
    <w:link w:val="FooterChar"/>
    <w:uiPriority w:val="99"/>
    <w:unhideWhenUsed/>
    <w:rsid w:val="006C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87"/>
  </w:style>
  <w:style w:type="character" w:customStyle="1" w:styleId="Mention1">
    <w:name w:val="Mention1"/>
    <w:basedOn w:val="DefaultParagraphFont"/>
    <w:uiPriority w:val="99"/>
    <w:semiHidden/>
    <w:unhideWhenUsed/>
    <w:rsid w:val="00C20BD5"/>
    <w:rPr>
      <w:color w:val="2B579A"/>
      <w:shd w:val="clear" w:color="auto" w:fill="E6E6E6"/>
    </w:rPr>
  </w:style>
  <w:style w:type="paragraph" w:styleId="PlainText">
    <w:name w:val="Plain Text"/>
    <w:basedOn w:val="Normal"/>
    <w:link w:val="PlainTextChar"/>
    <w:uiPriority w:val="99"/>
    <w:unhideWhenUsed/>
    <w:rsid w:val="00C52C8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52C85"/>
    <w:rPr>
      <w:rFonts w:ascii="Calibri" w:eastAsia="Calibri" w:hAnsi="Calibri" w:cs="Times New Roman"/>
      <w:szCs w:val="21"/>
    </w:rPr>
  </w:style>
  <w:style w:type="character" w:customStyle="1" w:styleId="Mention2">
    <w:name w:val="Mention2"/>
    <w:basedOn w:val="DefaultParagraphFont"/>
    <w:uiPriority w:val="99"/>
    <w:semiHidden/>
    <w:unhideWhenUsed/>
    <w:rsid w:val="00221FD7"/>
    <w:rPr>
      <w:color w:val="2B579A"/>
      <w:shd w:val="clear" w:color="auto" w:fill="E6E6E6"/>
    </w:rPr>
  </w:style>
  <w:style w:type="character" w:styleId="Emphasis">
    <w:name w:val="Emphasis"/>
    <w:basedOn w:val="DefaultParagraphFont"/>
    <w:uiPriority w:val="20"/>
    <w:qFormat/>
    <w:rsid w:val="0067155A"/>
    <w:rPr>
      <w:i/>
      <w:iCs/>
    </w:rPr>
  </w:style>
  <w:style w:type="character" w:styleId="FollowedHyperlink">
    <w:name w:val="FollowedHyperlink"/>
    <w:basedOn w:val="DefaultParagraphFont"/>
    <w:uiPriority w:val="99"/>
    <w:semiHidden/>
    <w:unhideWhenUsed/>
    <w:rsid w:val="001C66DE"/>
    <w:rPr>
      <w:color w:val="800080"/>
      <w:u w:val="single"/>
    </w:rPr>
  </w:style>
  <w:style w:type="paragraph" w:customStyle="1" w:styleId="msonormal0">
    <w:name w:val="msonormal"/>
    <w:basedOn w:val="Normal"/>
    <w:rsid w:val="001C66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5">
    <w:name w:val="xl65"/>
    <w:basedOn w:val="Normal"/>
    <w:rsid w:val="001C66D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6">
    <w:name w:val="xl66"/>
    <w:basedOn w:val="Normal"/>
    <w:rsid w:val="001C66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7">
    <w:name w:val="xl67"/>
    <w:basedOn w:val="Normal"/>
    <w:rsid w:val="001C66D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8">
    <w:name w:val="xl68"/>
    <w:basedOn w:val="Normal"/>
    <w:rsid w:val="001C66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9">
    <w:name w:val="xl69"/>
    <w:basedOn w:val="Normal"/>
    <w:rsid w:val="001C66DE"/>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0">
    <w:name w:val="xl70"/>
    <w:basedOn w:val="Normal"/>
    <w:rsid w:val="001C66D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1">
    <w:name w:val="xl71"/>
    <w:basedOn w:val="Normal"/>
    <w:rsid w:val="001C66D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3">
    <w:name w:val="xl73"/>
    <w:basedOn w:val="Normal"/>
    <w:rsid w:val="001C66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4">
    <w:name w:val="xl74"/>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75">
    <w:name w:val="xl75"/>
    <w:basedOn w:val="Normal"/>
    <w:rsid w:val="001C66D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6">
    <w:name w:val="xl76"/>
    <w:basedOn w:val="Normal"/>
    <w:rsid w:val="001C66D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7">
    <w:name w:val="xl77"/>
    <w:basedOn w:val="Normal"/>
    <w:rsid w:val="001C66D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8">
    <w:name w:val="xl78"/>
    <w:basedOn w:val="Normal"/>
    <w:rsid w:val="001C66D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9">
    <w:name w:val="xl79"/>
    <w:basedOn w:val="Normal"/>
    <w:rsid w:val="001C66D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0">
    <w:name w:val="xl80"/>
    <w:basedOn w:val="Normal"/>
    <w:rsid w:val="001C66DE"/>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n-CA"/>
    </w:rPr>
  </w:style>
  <w:style w:type="paragraph" w:customStyle="1" w:styleId="xl81">
    <w:name w:val="xl81"/>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82">
    <w:name w:val="xl82"/>
    <w:basedOn w:val="Normal"/>
    <w:rsid w:val="001C66DE"/>
    <w:pPr>
      <w:pBdr>
        <w:left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83">
    <w:name w:val="xl83"/>
    <w:basedOn w:val="Normal"/>
    <w:rsid w:val="001C66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4">
    <w:name w:val="xl84"/>
    <w:basedOn w:val="Normal"/>
    <w:rsid w:val="001C66D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85">
    <w:name w:val="xl85"/>
    <w:basedOn w:val="Normal"/>
    <w:rsid w:val="001C66D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86">
    <w:name w:val="xl86"/>
    <w:basedOn w:val="Normal"/>
    <w:rsid w:val="001C66D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7">
    <w:name w:val="xl87"/>
    <w:basedOn w:val="Normal"/>
    <w:rsid w:val="001C66DE"/>
    <w:pP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8">
    <w:name w:val="xl88"/>
    <w:basedOn w:val="Normal"/>
    <w:rsid w:val="001C66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9">
    <w:name w:val="xl89"/>
    <w:basedOn w:val="Normal"/>
    <w:rsid w:val="001C66D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0">
    <w:name w:val="xl90"/>
    <w:basedOn w:val="Normal"/>
    <w:rsid w:val="001C66D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1">
    <w:name w:val="xl91"/>
    <w:basedOn w:val="Normal"/>
    <w:rsid w:val="001C66D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2">
    <w:name w:val="xl92"/>
    <w:basedOn w:val="Normal"/>
    <w:rsid w:val="001C66D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3">
    <w:name w:val="xl93"/>
    <w:basedOn w:val="Normal"/>
    <w:rsid w:val="001C66D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4">
    <w:name w:val="xl94"/>
    <w:basedOn w:val="Normal"/>
    <w:rsid w:val="001C66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5">
    <w:name w:val="xl95"/>
    <w:basedOn w:val="Normal"/>
    <w:rsid w:val="001C66D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6">
    <w:name w:val="xl96"/>
    <w:basedOn w:val="Normal"/>
    <w:rsid w:val="001C66D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97">
    <w:name w:val="xl97"/>
    <w:basedOn w:val="Normal"/>
    <w:rsid w:val="001C66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222"/>
      <w:sz w:val="24"/>
      <w:szCs w:val="24"/>
      <w:lang w:eastAsia="en-CA"/>
    </w:rPr>
  </w:style>
  <w:style w:type="paragraph" w:customStyle="1" w:styleId="xl98">
    <w:name w:val="xl98"/>
    <w:basedOn w:val="Normal"/>
    <w:rsid w:val="001C66D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99">
    <w:name w:val="xl99"/>
    <w:basedOn w:val="Normal"/>
    <w:rsid w:val="001C66D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00">
    <w:name w:val="xl100"/>
    <w:basedOn w:val="Normal"/>
    <w:rsid w:val="001C66D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01">
    <w:name w:val="xl101"/>
    <w:basedOn w:val="Normal"/>
    <w:rsid w:val="001C66DE"/>
    <w:pPr>
      <w:pBdr>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2">
    <w:name w:val="xl102"/>
    <w:basedOn w:val="Normal"/>
    <w:rsid w:val="001C66DE"/>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3">
    <w:name w:val="xl103"/>
    <w:basedOn w:val="Normal"/>
    <w:rsid w:val="001C66DE"/>
    <w:pPr>
      <w:pBdr>
        <w:top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04">
    <w:name w:val="xl104"/>
    <w:basedOn w:val="Normal"/>
    <w:rsid w:val="001C66DE"/>
    <w:pPr>
      <w:pBdr>
        <w:bottom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05">
    <w:name w:val="xl105"/>
    <w:basedOn w:val="Normal"/>
    <w:rsid w:val="001C66DE"/>
    <w:pPr>
      <w:pBdr>
        <w:top w:val="single" w:sz="8" w:space="0" w:color="auto"/>
        <w:left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6">
    <w:name w:val="xl106"/>
    <w:basedOn w:val="Normal"/>
    <w:rsid w:val="001C66DE"/>
    <w:pPr>
      <w:pBdr>
        <w:top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7">
    <w:name w:val="xl107"/>
    <w:basedOn w:val="Normal"/>
    <w:rsid w:val="001C66DE"/>
    <w:pPr>
      <w:pBdr>
        <w:top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CA"/>
    </w:rPr>
  </w:style>
  <w:style w:type="paragraph" w:customStyle="1" w:styleId="xl108">
    <w:name w:val="xl108"/>
    <w:basedOn w:val="Normal"/>
    <w:rsid w:val="001C66D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09">
    <w:name w:val="xl109"/>
    <w:basedOn w:val="Normal"/>
    <w:rsid w:val="001C66D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10">
    <w:name w:val="xl110"/>
    <w:basedOn w:val="Normal"/>
    <w:rsid w:val="001C66D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111">
    <w:name w:val="xl111"/>
    <w:basedOn w:val="Normal"/>
    <w:rsid w:val="001C66DE"/>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12">
    <w:name w:val="xl112"/>
    <w:basedOn w:val="Normal"/>
    <w:rsid w:val="001C66DE"/>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13">
    <w:name w:val="xl113"/>
    <w:basedOn w:val="Normal"/>
    <w:rsid w:val="001C66D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14">
    <w:name w:val="xl114"/>
    <w:basedOn w:val="Normal"/>
    <w:rsid w:val="001C66D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15">
    <w:name w:val="xl115"/>
    <w:basedOn w:val="Normal"/>
    <w:rsid w:val="001C66D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table" w:styleId="LightShading-Accent5">
    <w:name w:val="Light Shading Accent 5"/>
    <w:basedOn w:val="TableNormal"/>
    <w:uiPriority w:val="60"/>
    <w:rsid w:val="00C46CD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3">
    <w:name w:val="Light Shading Accent 3"/>
    <w:basedOn w:val="TableNormal"/>
    <w:uiPriority w:val="60"/>
    <w:rsid w:val="00C46C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C46CD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
    <w:name w:val="Light Shading"/>
    <w:basedOn w:val="TableNormal"/>
    <w:uiPriority w:val="60"/>
    <w:rsid w:val="00C46C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456">
      <w:bodyDiv w:val="1"/>
      <w:marLeft w:val="0"/>
      <w:marRight w:val="0"/>
      <w:marTop w:val="0"/>
      <w:marBottom w:val="0"/>
      <w:divBdr>
        <w:top w:val="none" w:sz="0" w:space="0" w:color="auto"/>
        <w:left w:val="none" w:sz="0" w:space="0" w:color="auto"/>
        <w:bottom w:val="none" w:sz="0" w:space="0" w:color="auto"/>
        <w:right w:val="none" w:sz="0" w:space="0" w:color="auto"/>
      </w:divBdr>
    </w:div>
    <w:div w:id="253320352">
      <w:bodyDiv w:val="1"/>
      <w:marLeft w:val="0"/>
      <w:marRight w:val="0"/>
      <w:marTop w:val="0"/>
      <w:marBottom w:val="0"/>
      <w:divBdr>
        <w:top w:val="none" w:sz="0" w:space="0" w:color="auto"/>
        <w:left w:val="none" w:sz="0" w:space="0" w:color="auto"/>
        <w:bottom w:val="none" w:sz="0" w:space="0" w:color="auto"/>
        <w:right w:val="none" w:sz="0" w:space="0" w:color="auto"/>
      </w:divBdr>
    </w:div>
    <w:div w:id="289014801">
      <w:bodyDiv w:val="1"/>
      <w:marLeft w:val="0"/>
      <w:marRight w:val="0"/>
      <w:marTop w:val="0"/>
      <w:marBottom w:val="0"/>
      <w:divBdr>
        <w:top w:val="none" w:sz="0" w:space="0" w:color="auto"/>
        <w:left w:val="none" w:sz="0" w:space="0" w:color="auto"/>
        <w:bottom w:val="none" w:sz="0" w:space="0" w:color="auto"/>
        <w:right w:val="none" w:sz="0" w:space="0" w:color="auto"/>
      </w:divBdr>
    </w:div>
    <w:div w:id="462233824">
      <w:bodyDiv w:val="1"/>
      <w:marLeft w:val="0"/>
      <w:marRight w:val="0"/>
      <w:marTop w:val="0"/>
      <w:marBottom w:val="0"/>
      <w:divBdr>
        <w:top w:val="none" w:sz="0" w:space="0" w:color="auto"/>
        <w:left w:val="none" w:sz="0" w:space="0" w:color="auto"/>
        <w:bottom w:val="none" w:sz="0" w:space="0" w:color="auto"/>
        <w:right w:val="none" w:sz="0" w:space="0" w:color="auto"/>
      </w:divBdr>
    </w:div>
    <w:div w:id="476069880">
      <w:bodyDiv w:val="1"/>
      <w:marLeft w:val="0"/>
      <w:marRight w:val="0"/>
      <w:marTop w:val="0"/>
      <w:marBottom w:val="0"/>
      <w:divBdr>
        <w:top w:val="none" w:sz="0" w:space="0" w:color="auto"/>
        <w:left w:val="none" w:sz="0" w:space="0" w:color="auto"/>
        <w:bottom w:val="none" w:sz="0" w:space="0" w:color="auto"/>
        <w:right w:val="none" w:sz="0" w:space="0" w:color="auto"/>
      </w:divBdr>
      <w:divsChild>
        <w:div w:id="2065059531">
          <w:marLeft w:val="0"/>
          <w:marRight w:val="0"/>
          <w:marTop w:val="0"/>
          <w:marBottom w:val="0"/>
          <w:divBdr>
            <w:top w:val="none" w:sz="0" w:space="0" w:color="auto"/>
            <w:left w:val="none" w:sz="0" w:space="0" w:color="auto"/>
            <w:bottom w:val="none" w:sz="0" w:space="0" w:color="auto"/>
            <w:right w:val="none" w:sz="0" w:space="0" w:color="auto"/>
          </w:divBdr>
        </w:div>
        <w:div w:id="1586692834">
          <w:marLeft w:val="0"/>
          <w:marRight w:val="0"/>
          <w:marTop w:val="0"/>
          <w:marBottom w:val="0"/>
          <w:divBdr>
            <w:top w:val="none" w:sz="0" w:space="0" w:color="auto"/>
            <w:left w:val="none" w:sz="0" w:space="0" w:color="auto"/>
            <w:bottom w:val="none" w:sz="0" w:space="0" w:color="auto"/>
            <w:right w:val="none" w:sz="0" w:space="0" w:color="auto"/>
          </w:divBdr>
        </w:div>
      </w:divsChild>
    </w:div>
    <w:div w:id="697587544">
      <w:bodyDiv w:val="1"/>
      <w:marLeft w:val="0"/>
      <w:marRight w:val="0"/>
      <w:marTop w:val="0"/>
      <w:marBottom w:val="0"/>
      <w:divBdr>
        <w:top w:val="none" w:sz="0" w:space="0" w:color="auto"/>
        <w:left w:val="none" w:sz="0" w:space="0" w:color="auto"/>
        <w:bottom w:val="none" w:sz="0" w:space="0" w:color="auto"/>
        <w:right w:val="none" w:sz="0" w:space="0" w:color="auto"/>
      </w:divBdr>
    </w:div>
    <w:div w:id="746533209">
      <w:bodyDiv w:val="1"/>
      <w:marLeft w:val="0"/>
      <w:marRight w:val="0"/>
      <w:marTop w:val="0"/>
      <w:marBottom w:val="0"/>
      <w:divBdr>
        <w:top w:val="none" w:sz="0" w:space="0" w:color="auto"/>
        <w:left w:val="none" w:sz="0" w:space="0" w:color="auto"/>
        <w:bottom w:val="none" w:sz="0" w:space="0" w:color="auto"/>
        <w:right w:val="none" w:sz="0" w:space="0" w:color="auto"/>
      </w:divBdr>
    </w:div>
    <w:div w:id="982848343">
      <w:bodyDiv w:val="1"/>
      <w:marLeft w:val="0"/>
      <w:marRight w:val="0"/>
      <w:marTop w:val="0"/>
      <w:marBottom w:val="0"/>
      <w:divBdr>
        <w:top w:val="none" w:sz="0" w:space="0" w:color="auto"/>
        <w:left w:val="none" w:sz="0" w:space="0" w:color="auto"/>
        <w:bottom w:val="none" w:sz="0" w:space="0" w:color="auto"/>
        <w:right w:val="none" w:sz="0" w:space="0" w:color="auto"/>
      </w:divBdr>
    </w:div>
    <w:div w:id="1068651746">
      <w:bodyDiv w:val="1"/>
      <w:marLeft w:val="0"/>
      <w:marRight w:val="0"/>
      <w:marTop w:val="0"/>
      <w:marBottom w:val="0"/>
      <w:divBdr>
        <w:top w:val="none" w:sz="0" w:space="0" w:color="auto"/>
        <w:left w:val="none" w:sz="0" w:space="0" w:color="auto"/>
        <w:bottom w:val="none" w:sz="0" w:space="0" w:color="auto"/>
        <w:right w:val="none" w:sz="0" w:space="0" w:color="auto"/>
      </w:divBdr>
    </w:div>
    <w:div w:id="1324162917">
      <w:bodyDiv w:val="1"/>
      <w:marLeft w:val="0"/>
      <w:marRight w:val="0"/>
      <w:marTop w:val="0"/>
      <w:marBottom w:val="0"/>
      <w:divBdr>
        <w:top w:val="none" w:sz="0" w:space="0" w:color="auto"/>
        <w:left w:val="none" w:sz="0" w:space="0" w:color="auto"/>
        <w:bottom w:val="none" w:sz="0" w:space="0" w:color="auto"/>
        <w:right w:val="none" w:sz="0" w:space="0" w:color="auto"/>
      </w:divBdr>
    </w:div>
    <w:div w:id="1380940394">
      <w:bodyDiv w:val="1"/>
      <w:marLeft w:val="0"/>
      <w:marRight w:val="0"/>
      <w:marTop w:val="0"/>
      <w:marBottom w:val="0"/>
      <w:divBdr>
        <w:top w:val="none" w:sz="0" w:space="0" w:color="auto"/>
        <w:left w:val="none" w:sz="0" w:space="0" w:color="auto"/>
        <w:bottom w:val="none" w:sz="0" w:space="0" w:color="auto"/>
        <w:right w:val="none" w:sz="0" w:space="0" w:color="auto"/>
      </w:divBdr>
    </w:div>
    <w:div w:id="1431970892">
      <w:bodyDiv w:val="1"/>
      <w:marLeft w:val="0"/>
      <w:marRight w:val="0"/>
      <w:marTop w:val="0"/>
      <w:marBottom w:val="0"/>
      <w:divBdr>
        <w:top w:val="none" w:sz="0" w:space="0" w:color="auto"/>
        <w:left w:val="none" w:sz="0" w:space="0" w:color="auto"/>
        <w:bottom w:val="none" w:sz="0" w:space="0" w:color="auto"/>
        <w:right w:val="none" w:sz="0" w:space="0" w:color="auto"/>
      </w:divBdr>
    </w:div>
    <w:div w:id="1622420680">
      <w:bodyDiv w:val="1"/>
      <w:marLeft w:val="0"/>
      <w:marRight w:val="0"/>
      <w:marTop w:val="0"/>
      <w:marBottom w:val="0"/>
      <w:divBdr>
        <w:top w:val="none" w:sz="0" w:space="0" w:color="auto"/>
        <w:left w:val="none" w:sz="0" w:space="0" w:color="auto"/>
        <w:bottom w:val="none" w:sz="0" w:space="0" w:color="auto"/>
        <w:right w:val="none" w:sz="0" w:space="0" w:color="auto"/>
      </w:divBdr>
    </w:div>
    <w:div w:id="1857883077">
      <w:bodyDiv w:val="1"/>
      <w:marLeft w:val="0"/>
      <w:marRight w:val="0"/>
      <w:marTop w:val="0"/>
      <w:marBottom w:val="0"/>
      <w:divBdr>
        <w:top w:val="none" w:sz="0" w:space="0" w:color="auto"/>
        <w:left w:val="none" w:sz="0" w:space="0" w:color="auto"/>
        <w:bottom w:val="none" w:sz="0" w:space="0" w:color="auto"/>
        <w:right w:val="none" w:sz="0" w:space="0" w:color="auto"/>
      </w:divBdr>
    </w:div>
    <w:div w:id="1918704433">
      <w:bodyDiv w:val="1"/>
      <w:marLeft w:val="0"/>
      <w:marRight w:val="0"/>
      <w:marTop w:val="0"/>
      <w:marBottom w:val="0"/>
      <w:divBdr>
        <w:top w:val="none" w:sz="0" w:space="0" w:color="auto"/>
        <w:left w:val="none" w:sz="0" w:space="0" w:color="auto"/>
        <w:bottom w:val="none" w:sz="0" w:space="0" w:color="auto"/>
        <w:right w:val="none" w:sz="0" w:space="0" w:color="auto"/>
      </w:divBdr>
    </w:div>
    <w:div w:id="1931546128">
      <w:bodyDiv w:val="1"/>
      <w:marLeft w:val="0"/>
      <w:marRight w:val="0"/>
      <w:marTop w:val="0"/>
      <w:marBottom w:val="0"/>
      <w:divBdr>
        <w:top w:val="none" w:sz="0" w:space="0" w:color="auto"/>
        <w:left w:val="none" w:sz="0" w:space="0" w:color="auto"/>
        <w:bottom w:val="none" w:sz="0" w:space="0" w:color="auto"/>
        <w:right w:val="none" w:sz="0" w:space="0" w:color="auto"/>
      </w:divBdr>
    </w:div>
    <w:div w:id="1945771467">
      <w:bodyDiv w:val="1"/>
      <w:marLeft w:val="0"/>
      <w:marRight w:val="0"/>
      <w:marTop w:val="0"/>
      <w:marBottom w:val="0"/>
      <w:divBdr>
        <w:top w:val="none" w:sz="0" w:space="0" w:color="auto"/>
        <w:left w:val="none" w:sz="0" w:space="0" w:color="auto"/>
        <w:bottom w:val="none" w:sz="0" w:space="0" w:color="auto"/>
        <w:right w:val="none" w:sz="0" w:space="0" w:color="auto"/>
      </w:divBdr>
    </w:div>
    <w:div w:id="1959139638">
      <w:bodyDiv w:val="1"/>
      <w:marLeft w:val="0"/>
      <w:marRight w:val="0"/>
      <w:marTop w:val="0"/>
      <w:marBottom w:val="0"/>
      <w:divBdr>
        <w:top w:val="none" w:sz="0" w:space="0" w:color="auto"/>
        <w:left w:val="none" w:sz="0" w:space="0" w:color="auto"/>
        <w:bottom w:val="none" w:sz="0" w:space="0" w:color="auto"/>
        <w:right w:val="none" w:sz="0" w:space="0" w:color="auto"/>
      </w:divBdr>
    </w:div>
    <w:div w:id="1992832512">
      <w:bodyDiv w:val="1"/>
      <w:marLeft w:val="0"/>
      <w:marRight w:val="0"/>
      <w:marTop w:val="0"/>
      <w:marBottom w:val="0"/>
      <w:divBdr>
        <w:top w:val="none" w:sz="0" w:space="0" w:color="auto"/>
        <w:left w:val="none" w:sz="0" w:space="0" w:color="auto"/>
        <w:bottom w:val="none" w:sz="0" w:space="0" w:color="auto"/>
        <w:right w:val="none" w:sz="0" w:space="0" w:color="auto"/>
      </w:divBdr>
    </w:div>
    <w:div w:id="2025084289">
      <w:bodyDiv w:val="1"/>
      <w:marLeft w:val="0"/>
      <w:marRight w:val="0"/>
      <w:marTop w:val="0"/>
      <w:marBottom w:val="0"/>
      <w:divBdr>
        <w:top w:val="none" w:sz="0" w:space="0" w:color="auto"/>
        <w:left w:val="none" w:sz="0" w:space="0" w:color="auto"/>
        <w:bottom w:val="none" w:sz="0" w:space="0" w:color="auto"/>
        <w:right w:val="none" w:sz="0" w:space="0" w:color="auto"/>
      </w:divBdr>
    </w:div>
    <w:div w:id="2091999202">
      <w:bodyDiv w:val="1"/>
      <w:marLeft w:val="0"/>
      <w:marRight w:val="0"/>
      <w:marTop w:val="0"/>
      <w:marBottom w:val="0"/>
      <w:divBdr>
        <w:top w:val="none" w:sz="0" w:space="0" w:color="auto"/>
        <w:left w:val="none" w:sz="0" w:space="0" w:color="auto"/>
        <w:bottom w:val="none" w:sz="0" w:space="0" w:color="auto"/>
        <w:right w:val="none" w:sz="0" w:space="0" w:color="auto"/>
      </w:divBdr>
    </w:div>
    <w:div w:id="2120106335">
      <w:bodyDiv w:val="1"/>
      <w:marLeft w:val="0"/>
      <w:marRight w:val="0"/>
      <w:marTop w:val="0"/>
      <w:marBottom w:val="0"/>
      <w:divBdr>
        <w:top w:val="none" w:sz="0" w:space="0" w:color="auto"/>
        <w:left w:val="none" w:sz="0" w:space="0" w:color="auto"/>
        <w:bottom w:val="none" w:sz="0" w:space="0" w:color="auto"/>
        <w:right w:val="none" w:sz="0" w:space="0" w:color="auto"/>
      </w:divBdr>
    </w:div>
    <w:div w:id="21410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asha.bernatsky@mcgill.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3478-4F89-4410-812F-4A26B025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5823</Words>
  <Characters>33192</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csmoura</dc:creator>
  <cp:lastModifiedBy>AUTUMN NEVILLE</cp:lastModifiedBy>
  <cp:revision>2</cp:revision>
  <dcterms:created xsi:type="dcterms:W3CDTF">2019-05-07T18:09:00Z</dcterms:created>
  <dcterms:modified xsi:type="dcterms:W3CDTF">2019-05-07T18:09:00Z</dcterms:modified>
</cp:coreProperties>
</file>